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The project aimed to enhance staff confidence, knowledge, and performance during the first three minutes of a Code Blue, while also monitoring the return of spontaneous circulation (ROSC) outcomes. The focus was on improving staff performance in the first three minutes of a Code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120D67B3">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2FF8DC95"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Josie Bryant</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18298CBB"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Clinical Nutrition Supervisor</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2D6EEC33"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Baptist Health Paducah</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456EC8FF"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Baptist Health Care System</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69E34911"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Food and Nutrition Services</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3B6D7DEC" w:rsidR="00124077" w:rsidRPr="0016464B" w:rsidRDefault="00124077">
            <w:pPr>
              <w:rPr>
                <w:sz w:val="22"/>
                <w:szCs w:val="22"/>
              </w:rPr>
            </w:pPr>
            <w:r w:rsidRPr="0016464B">
              <w:rPr>
                <w:rFonts w:ascii="Roboto" w:hAnsi="Roboto"/>
                <w:sz w:val="22"/>
                <w:szCs w:val="22"/>
              </w:rPr>
              <w:t> </w:t>
            </w:r>
            <w:r w:rsidR="0091248C">
              <w:rPr>
                <w:rFonts w:ascii="Roboto" w:hAnsi="Roboto"/>
                <w:sz w:val="22"/>
                <w:szCs w:val="22"/>
              </w:rPr>
              <w:t>EAD Placement and Reducing Readmission – Hospital to Home Bingo</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2B78341C" w14:textId="77777777" w:rsidR="00884166"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Baptist Health Paducah</w:t>
            </w:r>
          </w:p>
          <w:p w14:paraId="173FFEDC"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2501 Kentucky Avenue</w:t>
            </w:r>
          </w:p>
          <w:p w14:paraId="176E2E6B" w14:textId="289AD269"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Paducah, KY 42001</w:t>
            </w: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583C3D58" w:rsidR="0091248C" w:rsidRPr="0016464B" w:rsidRDefault="00884166" w:rsidP="0091248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472679B7" w:rsidR="00884166"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270-575-5889</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45E0D3E5" w:rsidR="00884166"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Josie.bryant@bhsi.com</w:t>
            </w:r>
          </w:p>
        </w:tc>
      </w:tr>
      <w:tr w:rsidR="00884166"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4C97CD16" w14:textId="77777777" w:rsidR="00884166" w:rsidRDefault="0091248C" w:rsidP="0091248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Cheryl Johnson</w:t>
            </w:r>
          </w:p>
          <w:p w14:paraId="24E02FE9" w14:textId="77777777" w:rsidR="0091248C" w:rsidRDefault="0091248C" w:rsidP="0091248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2501 Kentucky Avenue</w:t>
            </w:r>
          </w:p>
          <w:p w14:paraId="3C59CCF3" w14:textId="7151BCB9" w:rsidR="0091248C" w:rsidRPr="0016464B" w:rsidRDefault="0091248C" w:rsidP="0091248C">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Paducah, KY 42001</w:t>
            </w:r>
          </w:p>
        </w:tc>
      </w:tr>
      <w:tr w:rsidR="00884166"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66B08036" w14:textId="77777777" w:rsidR="00884166"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Lynn Kolokowsky</w:t>
            </w:r>
          </w:p>
          <w:p w14:paraId="35189164" w14:textId="083413A4"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Risk Management &amp; Insurance Services</w:t>
            </w:r>
          </w:p>
          <w:p w14:paraId="04EC30B2"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1901 Campus Place</w:t>
            </w:r>
          </w:p>
          <w:p w14:paraId="46CAB4A1" w14:textId="6B6DB2EE"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 xml:space="preserve">Louisville, KY </w:t>
            </w:r>
          </w:p>
        </w:tc>
      </w:tr>
      <w:tr w:rsidR="00884166"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275CBBF0"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Kenneth Boyd</w:t>
            </w:r>
          </w:p>
          <w:p w14:paraId="1197DC69"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President, Baptist Health Paducah</w:t>
            </w:r>
          </w:p>
          <w:p w14:paraId="0D4CA2B6"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2501 Kentucky Avenue</w:t>
            </w:r>
          </w:p>
          <w:p w14:paraId="73D23D02" w14:textId="7B0AB319"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Paducah, KY 42001</w:t>
            </w:r>
          </w:p>
        </w:tc>
      </w:tr>
      <w:tr w:rsidR="00884166"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5AADDA85" w14:textId="77777777" w:rsidR="00884166"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Michelle Hayden</w:t>
            </w:r>
          </w:p>
          <w:p w14:paraId="7BAD49E1"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CFO, Baptist Health Paducah</w:t>
            </w:r>
          </w:p>
          <w:p w14:paraId="65092783" w14:textId="77777777" w:rsidR="0091248C"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2501 Kentucky Avenue</w:t>
            </w:r>
          </w:p>
          <w:p w14:paraId="5F0533E7" w14:textId="78C3FEA8" w:rsidR="0091248C" w:rsidRPr="0016464B" w:rsidRDefault="0091248C"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Paducah, KY 42001</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3963B11B" w:rsidR="00884166" w:rsidRPr="0016464B" w:rsidRDefault="0007657C"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AB7826">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13B0AE86"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AB7826">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2A8A585B"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00AB7826">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sdtContent>
        <w:p w14:paraId="48EC0013" w14:textId="77777777" w:rsidR="00AB7826" w:rsidRDefault="00AB7826" w:rsidP="00AB7826">
          <w:pPr>
            <w:pStyle w:val="NormalWeb"/>
            <w:spacing w:line="300" w:lineRule="atLeast"/>
            <w:ind w:left="360"/>
            <w:rPr>
              <w:rFonts w:ascii="Segoe UI" w:hAnsi="Segoe UI" w:cs="Segoe UI"/>
              <w:sz w:val="21"/>
              <w:szCs w:val="21"/>
            </w:rPr>
          </w:pPr>
          <w:r>
            <w:rPr>
              <w:rFonts w:ascii="Segoe UI" w:hAnsi="Segoe UI" w:cs="Segoe UI"/>
              <w:sz w:val="21"/>
              <w:szCs w:val="21"/>
            </w:rPr>
            <w:t xml:space="preserve">In 2023, registered dietitian nutritionists (RDNs) at Baptist Health Paducah identified a concerning trend of home enteral nutrition (HEN) patients being readmitted with complications related to their enteral access </w:t>
          </w:r>
          <w:r>
            <w:rPr>
              <w:rFonts w:ascii="Segoe UI" w:hAnsi="Segoe UI" w:cs="Segoe UI"/>
              <w:sz w:val="21"/>
              <w:szCs w:val="21"/>
            </w:rPr>
            <w:lastRenderedPageBreak/>
            <w:t>device (EAD) or feeding regimen. What began as informal observations and team discussions evolved into a structured review. An EPIC report was developed to capture data on patients who received EAD placements in both inpatient and outpatient settings. The team analyzed readmissions specifically associated with EAD issues, enteral nutrition (EN) complications, or a combination of both. Hospitalizations due to unrelated medical conditions (e.g., stroke, respiratory failure) were excluded from the readmission count for this project.</w:t>
          </w:r>
        </w:p>
        <w:p w14:paraId="12863A5B" w14:textId="00D0C1F1" w:rsidR="00884166" w:rsidRPr="00AB7826" w:rsidRDefault="00AB7826" w:rsidP="00AB7826">
          <w:pPr>
            <w:pStyle w:val="NormalWeb"/>
            <w:spacing w:line="300" w:lineRule="atLeast"/>
            <w:ind w:left="360"/>
            <w:rPr>
              <w:rFonts w:ascii="Segoe UI" w:hAnsi="Segoe UI" w:cs="Segoe UI"/>
              <w:sz w:val="21"/>
              <w:szCs w:val="21"/>
            </w:rPr>
          </w:pPr>
          <w:r>
            <w:rPr>
              <w:rFonts w:ascii="Segoe UI" w:hAnsi="Segoe UI" w:cs="Segoe UI"/>
              <w:sz w:val="21"/>
              <w:szCs w:val="21"/>
            </w:rPr>
            <w:t>In 2024, the analysis revealed that 22.7% of patients with a newly placed EAD were readmitted within 30 days of discharge. In response, the team implemented the Plan</w:t>
          </w:r>
          <w:r>
            <w:rPr>
              <w:rFonts w:ascii="Segoe UI" w:hAnsi="Segoe UI" w:cs="Segoe UI"/>
              <w:sz w:val="21"/>
              <w:szCs w:val="21"/>
            </w:rPr>
            <w:noBreakHyphen/>
            <w:t>Do</w:t>
          </w:r>
          <w:r>
            <w:rPr>
              <w:rFonts w:ascii="Segoe UI" w:hAnsi="Segoe UI" w:cs="Segoe UI"/>
              <w:sz w:val="21"/>
              <w:szCs w:val="21"/>
            </w:rPr>
            <w:noBreakHyphen/>
            <w:t>Study</w:t>
          </w:r>
          <w:r>
            <w:rPr>
              <w:rFonts w:ascii="Segoe UI" w:hAnsi="Segoe UI" w:cs="Segoe UI"/>
              <w:sz w:val="21"/>
              <w:szCs w:val="21"/>
            </w:rPr>
            <w:noBreakHyphen/>
            <w:t>Act (PDSA) model to guide improvement efforts. Through this initiative, the clinical nutrition and nursing departments introduced an engaging, gamified education strategy designed to enhance patients’ understanding of their EAD management and HEN care plan. The “Hospital to Home, Safe Transition Home” bingo game at the bedside integrated eight components of EAD care and nutrition support education to ensure clinical practice, patient communication, and synchronized workflow resulted in quality care.</w:t>
          </w: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EndPr/>
      <w:sdtContent>
        <w:p w14:paraId="64D69329" w14:textId="64EFA2E1" w:rsidR="00884166" w:rsidRDefault="00AB7826"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r>
            <w:rPr>
              <w:rFonts w:ascii="Roboto" w:hAnsi="Roboto" w:cs="Calibri"/>
            </w:rPr>
            <w:t xml:space="preserve">In October 2025, the bingo card discharge education strategy was implemented. The data showed that readmission declined to 11%, but a significant increase in mortality (31%) showed an opportunity for earlier integration of palliative care for high-risk patients. </w:t>
          </w:r>
          <w:r w:rsidR="00035227">
            <w:rPr>
              <w:rFonts w:ascii="Roboto" w:hAnsi="Roboto" w:cs="Calibri"/>
            </w:rPr>
            <w:t xml:space="preserve">From </w:t>
          </w:r>
          <w:r>
            <w:rPr>
              <w:rFonts w:ascii="Roboto" w:hAnsi="Roboto" w:cs="Calibri"/>
            </w:rPr>
            <w:t>October 2025</w:t>
          </w:r>
          <w:r w:rsidR="00035227">
            <w:rPr>
              <w:rFonts w:ascii="Roboto" w:hAnsi="Roboto" w:cs="Calibri"/>
            </w:rPr>
            <w:t xml:space="preserve"> to May 2026, readmission has declined to 7.4% (2 readmissions/27 EAD placements). </w:t>
          </w:r>
        </w:p>
        <w:p w14:paraId="6F5C2707" w14:textId="77777777" w:rsidR="00035227" w:rsidRDefault="00035227"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p>
        <w:p w14:paraId="6B71D466" w14:textId="233E9F59" w:rsidR="00035227" w:rsidRPr="00FF2186" w:rsidRDefault="00035227"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r>
            <w:rPr>
              <w:rFonts w:ascii="Roboto" w:hAnsi="Roboto" w:cs="Calibri"/>
            </w:rPr>
            <w:t>The education tool has ensured consistent and comprehensive instruction. The standardization reduced variability in teaching practices, increased liability of discharge preparation, and deepened coordination between nursing and clinical nutrition teams. A unified approach to patient teaching and discharge planning supports workflows for providers and the discharge planning process.</w:t>
          </w: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sdtContent>
        <w:p w14:paraId="4DCAFFA8" w14:textId="5D4AA55C" w:rsidR="00035227" w:rsidRPr="00003E9D" w:rsidRDefault="00035227" w:rsidP="00035227">
          <w:pPr>
            <w:spacing w:before="100" w:beforeAutospacing="1" w:after="100" w:afterAutospacing="1" w:line="300" w:lineRule="atLeast"/>
            <w:outlineLvl w:val="2"/>
            <w:rPr>
              <w:rFonts w:ascii="Segoe UI" w:eastAsia="Times New Roman" w:hAnsi="Segoe UI" w:cs="Segoe UI"/>
              <w:sz w:val="21"/>
              <w:szCs w:val="21"/>
            </w:rPr>
          </w:pPr>
          <w:r>
            <w:rPr>
              <w:rFonts w:ascii="Segoe UI" w:eastAsia="Times New Roman" w:hAnsi="Segoe UI" w:cs="Segoe UI"/>
              <w:sz w:val="21"/>
              <w:szCs w:val="21"/>
            </w:rPr>
            <w:t xml:space="preserve">During this project it was discovered that the mortality rate within 60 days of a new device placement increased from 16.7% in CY24 to 30.6% in CY25.  This </w:t>
          </w:r>
          <w:r w:rsidRPr="00003E9D">
            <w:rPr>
              <w:rFonts w:ascii="Segoe UI" w:eastAsia="Times New Roman" w:hAnsi="Segoe UI" w:cs="Segoe UI"/>
              <w:sz w:val="21"/>
              <w:szCs w:val="21"/>
            </w:rPr>
            <w:t xml:space="preserve">increased mortality rate among patients receiving an </w:t>
          </w:r>
          <w:proofErr w:type="gramStart"/>
          <w:r w:rsidRPr="00003E9D">
            <w:rPr>
              <w:rFonts w:ascii="Segoe UI" w:eastAsia="Times New Roman" w:hAnsi="Segoe UI" w:cs="Segoe UI"/>
              <w:sz w:val="21"/>
              <w:szCs w:val="21"/>
            </w:rPr>
            <w:t>EAD,</w:t>
          </w:r>
          <w:proofErr w:type="gramEnd"/>
          <w:r w:rsidRPr="00003E9D">
            <w:rPr>
              <w:rFonts w:ascii="Segoe UI" w:eastAsia="Times New Roman" w:hAnsi="Segoe UI" w:cs="Segoe UI"/>
              <w:sz w:val="21"/>
              <w:szCs w:val="21"/>
            </w:rPr>
            <w:t xml:space="preserve"> highligh</w:t>
          </w:r>
          <w:r>
            <w:rPr>
              <w:rFonts w:ascii="Segoe UI" w:eastAsia="Times New Roman" w:hAnsi="Segoe UI" w:cs="Segoe UI"/>
              <w:sz w:val="21"/>
              <w:szCs w:val="21"/>
            </w:rPr>
            <w:t xml:space="preserve">ts </w:t>
          </w:r>
          <w:r w:rsidRPr="00003E9D">
            <w:rPr>
              <w:rFonts w:ascii="Segoe UI" w:eastAsia="Times New Roman" w:hAnsi="Segoe UI" w:cs="Segoe UI"/>
              <w:sz w:val="21"/>
              <w:szCs w:val="21"/>
            </w:rPr>
            <w:t>the need for more intentional discussions regarding goals of care.</w:t>
          </w:r>
          <w:r>
            <w:rPr>
              <w:rFonts w:ascii="Segoe UI" w:eastAsia="Times New Roman" w:hAnsi="Segoe UI" w:cs="Segoe UI"/>
              <w:sz w:val="21"/>
              <w:szCs w:val="21"/>
            </w:rPr>
            <w:t xml:space="preserve"> </w:t>
          </w:r>
          <w:r w:rsidRPr="00003E9D">
            <w:rPr>
              <w:rFonts w:ascii="Segoe UI" w:eastAsia="Times New Roman" w:hAnsi="Segoe UI" w:cs="Segoe UI"/>
              <w:sz w:val="21"/>
              <w:szCs w:val="21"/>
            </w:rPr>
            <w:t>Next steps include:</w:t>
          </w:r>
          <w:r>
            <w:rPr>
              <w:rFonts w:ascii="Segoe UI" w:eastAsia="Times New Roman" w:hAnsi="Segoe UI" w:cs="Segoe UI"/>
              <w:sz w:val="21"/>
              <w:szCs w:val="21"/>
            </w:rPr>
            <w:t xml:space="preserve"> </w:t>
          </w:r>
        </w:p>
        <w:p w14:paraId="7FBEB974" w14:textId="77777777" w:rsidR="00035227" w:rsidRPr="00003E9D" w:rsidRDefault="00035227" w:rsidP="00035227">
          <w:pPr>
            <w:widowControl/>
            <w:numPr>
              <w:ilvl w:val="0"/>
              <w:numId w:val="41"/>
            </w:numPr>
            <w:autoSpaceDE/>
            <w:autoSpaceDN/>
            <w:spacing w:before="100" w:beforeAutospacing="1" w:after="100" w:afterAutospacing="1" w:line="300" w:lineRule="atLeast"/>
            <w:rPr>
              <w:rFonts w:ascii="Segoe UI" w:eastAsia="Times New Roman" w:hAnsi="Segoe UI" w:cs="Segoe UI"/>
              <w:sz w:val="21"/>
              <w:szCs w:val="21"/>
            </w:rPr>
          </w:pPr>
          <w:r w:rsidRPr="00003E9D">
            <w:rPr>
              <w:rFonts w:ascii="Segoe UI" w:eastAsia="Times New Roman" w:hAnsi="Segoe UI" w:cs="Segoe UI"/>
              <w:b/>
              <w:bCs/>
              <w:sz w:val="21"/>
              <w:szCs w:val="21"/>
            </w:rPr>
            <w:t>Early involvement of the palliative care team</w:t>
          </w:r>
          <w:r w:rsidRPr="00003E9D">
            <w:rPr>
              <w:rFonts w:ascii="Segoe UI" w:eastAsia="Times New Roman" w:hAnsi="Segoe UI" w:cs="Segoe UI"/>
              <w:sz w:val="21"/>
              <w:szCs w:val="21"/>
            </w:rPr>
            <w:t xml:space="preserve"> for patients being considered for EAD placement, particularly those with limited prognosis or advanced chronic illness.</w:t>
          </w:r>
        </w:p>
        <w:p w14:paraId="52DD86C8" w14:textId="77777777" w:rsidR="00035227" w:rsidRPr="00003E9D" w:rsidRDefault="00035227" w:rsidP="00035227">
          <w:pPr>
            <w:widowControl/>
            <w:numPr>
              <w:ilvl w:val="0"/>
              <w:numId w:val="41"/>
            </w:numPr>
            <w:autoSpaceDE/>
            <w:autoSpaceDN/>
            <w:spacing w:before="100" w:beforeAutospacing="1" w:after="100" w:afterAutospacing="1" w:line="300" w:lineRule="atLeast"/>
            <w:rPr>
              <w:rFonts w:ascii="Segoe UI" w:eastAsia="Times New Roman" w:hAnsi="Segoe UI" w:cs="Segoe UI"/>
              <w:sz w:val="21"/>
              <w:szCs w:val="21"/>
            </w:rPr>
          </w:pPr>
          <w:r w:rsidRPr="00003E9D">
            <w:rPr>
              <w:rFonts w:ascii="Segoe UI" w:eastAsia="Times New Roman" w:hAnsi="Segoe UI" w:cs="Segoe UI"/>
              <w:b/>
              <w:bCs/>
              <w:sz w:val="21"/>
              <w:szCs w:val="21"/>
            </w:rPr>
            <w:t>Shared decision</w:t>
          </w:r>
          <w:r w:rsidRPr="00003E9D">
            <w:rPr>
              <w:rFonts w:ascii="Segoe UI" w:eastAsia="Times New Roman" w:hAnsi="Segoe UI" w:cs="Segoe UI"/>
              <w:b/>
              <w:bCs/>
              <w:sz w:val="21"/>
              <w:szCs w:val="21"/>
            </w:rPr>
            <w:noBreakHyphen/>
            <w:t>making pathways</w:t>
          </w:r>
          <w:r w:rsidRPr="00003E9D">
            <w:rPr>
              <w:rFonts w:ascii="Segoe UI" w:eastAsia="Times New Roman" w:hAnsi="Segoe UI" w:cs="Segoe UI"/>
              <w:sz w:val="21"/>
              <w:szCs w:val="21"/>
            </w:rPr>
            <w:t xml:space="preserve"> that ensure patients and caregivers fully understand the risks, benefits, and alternatives of EAD placement.</w:t>
          </w:r>
        </w:p>
        <w:p w14:paraId="17889960" w14:textId="77777777" w:rsidR="00035227" w:rsidRPr="00003E9D" w:rsidRDefault="00035227" w:rsidP="00035227">
          <w:pPr>
            <w:widowControl/>
            <w:numPr>
              <w:ilvl w:val="0"/>
              <w:numId w:val="41"/>
            </w:numPr>
            <w:autoSpaceDE/>
            <w:autoSpaceDN/>
            <w:spacing w:before="100" w:beforeAutospacing="1" w:after="100" w:afterAutospacing="1" w:line="300" w:lineRule="atLeast"/>
            <w:rPr>
              <w:rFonts w:ascii="Segoe UI" w:eastAsia="Times New Roman" w:hAnsi="Segoe UI" w:cs="Segoe UI"/>
              <w:sz w:val="21"/>
              <w:szCs w:val="21"/>
            </w:rPr>
          </w:pPr>
          <w:r w:rsidRPr="00003E9D">
            <w:rPr>
              <w:rFonts w:ascii="Segoe UI" w:eastAsia="Times New Roman" w:hAnsi="Segoe UI" w:cs="Segoe UI"/>
              <w:b/>
              <w:bCs/>
              <w:sz w:val="21"/>
              <w:szCs w:val="21"/>
            </w:rPr>
            <w:t>Education for staff</w:t>
          </w:r>
          <w:r w:rsidRPr="00003E9D">
            <w:rPr>
              <w:rFonts w:ascii="Segoe UI" w:eastAsia="Times New Roman" w:hAnsi="Segoe UI" w:cs="Segoe UI"/>
              <w:sz w:val="21"/>
              <w:szCs w:val="21"/>
            </w:rPr>
            <w:t xml:space="preserve"> on how to identify when a palliative care consult is appropriate to support informed, patient</w:t>
          </w:r>
          <w:r w:rsidRPr="00003E9D">
            <w:rPr>
              <w:rFonts w:ascii="Segoe UI" w:eastAsia="Times New Roman" w:hAnsi="Segoe UI" w:cs="Segoe UI"/>
              <w:sz w:val="21"/>
              <w:szCs w:val="21"/>
            </w:rPr>
            <w:noBreakHyphen/>
            <w:t>centered care planning.</w:t>
          </w:r>
        </w:p>
        <w:p w14:paraId="2DF69ABA" w14:textId="6E70AEDF" w:rsidR="00884166" w:rsidRPr="0098406E" w:rsidRDefault="0007657C"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b/>
              <w:bCs/>
            </w:rPr>
          </w:pP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19F80EC6"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lastRenderedPageBreak/>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035227">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3DE74F1B"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EndPr/>
        <w:sdtContent>
          <w:r w:rsidR="00035227">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68FDB705"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0091248C">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91248C">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2271708F"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035227">
            <w:rPr>
              <w:rFonts w:ascii="Roboto" w:hAnsi="Roboto" w:cs="Calibri"/>
            </w:rPr>
            <w:t>The project can be scaled across the acute care and outpatient settings to ensure people transition home safely with nutrition support. Because of its low-cost, patient-centered design, this education tool is adaptable and can lead to innovative pathways to reducing complications associated with readmission and improving safe nutrition support in healthcare.</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howingPlcHdr/>
      </w:sdtPr>
      <w:sdtEndPr/>
      <w:sdtContent>
        <w:p w14:paraId="79D78D7F" w14:textId="77777777" w:rsidR="00884166" w:rsidRPr="0098406E" w:rsidRDefault="00884166" w:rsidP="0016464B">
          <w:pPr>
            <w:ind w:left="720"/>
            <w:rPr>
              <w:rFonts w:ascii="Roboto" w:hAnsi="Roboto" w:cs="Calibri"/>
              <w:b/>
              <w:bCs/>
            </w:rPr>
          </w:pPr>
          <w:r w:rsidRPr="00DD46AB">
            <w:rPr>
              <w:rStyle w:val="PlaceholderText"/>
            </w:rPr>
            <w:t>Click or tap here to enter text.</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F96B" w14:textId="77777777" w:rsidR="0007657C" w:rsidRDefault="0007657C" w:rsidP="000E1106">
      <w:r>
        <w:separator/>
      </w:r>
    </w:p>
  </w:endnote>
  <w:endnote w:type="continuationSeparator" w:id="0">
    <w:p w14:paraId="2B8A843C" w14:textId="77777777" w:rsidR="0007657C" w:rsidRDefault="0007657C"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55C5E" w14:textId="77777777" w:rsidR="0007657C" w:rsidRDefault="0007657C" w:rsidP="000E1106">
      <w:r>
        <w:separator/>
      </w:r>
    </w:p>
  </w:footnote>
  <w:footnote w:type="continuationSeparator" w:id="0">
    <w:p w14:paraId="5650EBA2" w14:textId="77777777" w:rsidR="0007657C" w:rsidRDefault="0007657C"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120CE1"/>
    <w:multiLevelType w:val="multilevel"/>
    <w:tmpl w:val="8E8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4"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8"/>
  </w:num>
  <w:num w:numId="2" w16cid:durableId="221332768">
    <w:abstractNumId w:val="0"/>
  </w:num>
  <w:num w:numId="3" w16cid:durableId="1686134529">
    <w:abstractNumId w:val="24"/>
  </w:num>
  <w:num w:numId="4" w16cid:durableId="948053049">
    <w:abstractNumId w:val="7"/>
  </w:num>
  <w:num w:numId="5" w16cid:durableId="704865118">
    <w:abstractNumId w:val="3"/>
  </w:num>
  <w:num w:numId="6" w16cid:durableId="2122718385">
    <w:abstractNumId w:val="10"/>
  </w:num>
  <w:num w:numId="7" w16cid:durableId="1520046426">
    <w:abstractNumId w:val="30"/>
  </w:num>
  <w:num w:numId="8" w16cid:durableId="1644233879">
    <w:abstractNumId w:val="35"/>
  </w:num>
  <w:num w:numId="9" w16cid:durableId="892614925">
    <w:abstractNumId w:val="27"/>
  </w:num>
  <w:num w:numId="10" w16cid:durableId="687372725">
    <w:abstractNumId w:val="17"/>
  </w:num>
  <w:num w:numId="11" w16cid:durableId="291912578">
    <w:abstractNumId w:val="16"/>
  </w:num>
  <w:num w:numId="12" w16cid:durableId="2002462321">
    <w:abstractNumId w:val="4"/>
  </w:num>
  <w:num w:numId="13" w16cid:durableId="1102995918">
    <w:abstractNumId w:val="37"/>
  </w:num>
  <w:num w:numId="14" w16cid:durableId="1054550535">
    <w:abstractNumId w:val="1"/>
  </w:num>
  <w:num w:numId="15" w16cid:durableId="599917450">
    <w:abstractNumId w:val="36"/>
  </w:num>
  <w:num w:numId="16" w16cid:durableId="857349219">
    <w:abstractNumId w:val="6"/>
  </w:num>
  <w:num w:numId="17" w16cid:durableId="657929143">
    <w:abstractNumId w:val="5"/>
  </w:num>
  <w:num w:numId="18" w16cid:durableId="810252714">
    <w:abstractNumId w:val="19"/>
  </w:num>
  <w:num w:numId="19" w16cid:durableId="421604918">
    <w:abstractNumId w:val="38"/>
  </w:num>
  <w:num w:numId="20" w16cid:durableId="1564179827">
    <w:abstractNumId w:val="31"/>
  </w:num>
  <w:num w:numId="21" w16cid:durableId="551818281">
    <w:abstractNumId w:val="8"/>
  </w:num>
  <w:num w:numId="22" w16cid:durableId="491600419">
    <w:abstractNumId w:val="2"/>
  </w:num>
  <w:num w:numId="23" w16cid:durableId="1983074985">
    <w:abstractNumId w:val="28"/>
  </w:num>
  <w:num w:numId="24" w16cid:durableId="1516649997">
    <w:abstractNumId w:val="22"/>
  </w:num>
  <w:num w:numId="25" w16cid:durableId="1205829486">
    <w:abstractNumId w:val="32"/>
  </w:num>
  <w:num w:numId="26" w16cid:durableId="127549549">
    <w:abstractNumId w:val="13"/>
  </w:num>
  <w:num w:numId="27" w16cid:durableId="1280911028">
    <w:abstractNumId w:val="9"/>
  </w:num>
  <w:num w:numId="28" w16cid:durableId="217254620">
    <w:abstractNumId w:val="20"/>
  </w:num>
  <w:num w:numId="29" w16cid:durableId="524102375">
    <w:abstractNumId w:val="11"/>
  </w:num>
  <w:num w:numId="30" w16cid:durableId="1684555352">
    <w:abstractNumId w:val="39"/>
  </w:num>
  <w:num w:numId="31" w16cid:durableId="1004086290">
    <w:abstractNumId w:val="26"/>
  </w:num>
  <w:num w:numId="32" w16cid:durableId="786461485">
    <w:abstractNumId w:val="23"/>
  </w:num>
  <w:num w:numId="33" w16cid:durableId="1370106769">
    <w:abstractNumId w:val="15"/>
  </w:num>
  <w:num w:numId="34" w16cid:durableId="953900033">
    <w:abstractNumId w:val="25"/>
  </w:num>
  <w:num w:numId="35" w16cid:durableId="1041325723">
    <w:abstractNumId w:val="14"/>
  </w:num>
  <w:num w:numId="36" w16cid:durableId="1004743889">
    <w:abstractNumId w:val="40"/>
  </w:num>
  <w:num w:numId="37" w16cid:durableId="279847957">
    <w:abstractNumId w:val="33"/>
  </w:num>
  <w:num w:numId="38" w16cid:durableId="662126278">
    <w:abstractNumId w:val="29"/>
  </w:num>
  <w:num w:numId="39" w16cid:durableId="1414857215">
    <w:abstractNumId w:val="21"/>
  </w:num>
  <w:num w:numId="40" w16cid:durableId="1295138397">
    <w:abstractNumId w:val="34"/>
  </w:num>
  <w:num w:numId="41" w16cid:durableId="940649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227"/>
    <w:rsid w:val="000353A0"/>
    <w:rsid w:val="00035F5C"/>
    <w:rsid w:val="000366A9"/>
    <w:rsid w:val="0004286E"/>
    <w:rsid w:val="00051AA6"/>
    <w:rsid w:val="000553FF"/>
    <w:rsid w:val="000571DA"/>
    <w:rsid w:val="00066EF8"/>
    <w:rsid w:val="0007121F"/>
    <w:rsid w:val="000712AB"/>
    <w:rsid w:val="00072E88"/>
    <w:rsid w:val="00075AF7"/>
    <w:rsid w:val="0007657C"/>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D5F5B"/>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2494"/>
    <w:rsid w:val="006E581D"/>
    <w:rsid w:val="006F273B"/>
    <w:rsid w:val="006F2FDF"/>
    <w:rsid w:val="00703660"/>
    <w:rsid w:val="00706938"/>
    <w:rsid w:val="00707E0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1248C"/>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C13"/>
    <w:rsid w:val="00A35971"/>
    <w:rsid w:val="00A40C16"/>
    <w:rsid w:val="00A42025"/>
    <w:rsid w:val="00A44818"/>
    <w:rsid w:val="00A4531E"/>
    <w:rsid w:val="00A45AB9"/>
    <w:rsid w:val="00A9245A"/>
    <w:rsid w:val="00AA098B"/>
    <w:rsid w:val="00AA5EF8"/>
    <w:rsid w:val="00AB7826"/>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styleId="NormalWeb">
    <w:name w:val="Normal (Web)"/>
    <w:basedOn w:val="Normal"/>
    <w:uiPriority w:val="99"/>
    <w:unhideWhenUsed/>
    <w:rsid w:val="00AB782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0.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53F07"/>
    <w:rsid w:val="006244AF"/>
    <w:rsid w:val="0067009D"/>
    <w:rsid w:val="00680261"/>
    <w:rsid w:val="006E2494"/>
    <w:rsid w:val="00707E08"/>
    <w:rsid w:val="00742FFC"/>
    <w:rsid w:val="007B0C47"/>
    <w:rsid w:val="008B16C2"/>
    <w:rsid w:val="00910A2D"/>
    <w:rsid w:val="00AC4149"/>
    <w:rsid w:val="00B030F4"/>
    <w:rsid w:val="00C45D87"/>
    <w:rsid w:val="00D47763"/>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9861</Characters>
  <Application>Microsoft Office Word</Application>
  <DocSecurity>0</DocSecurity>
  <Lines>290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Josie Bryant</dc:creator>
  <cp:lastModifiedBy>Johnson, Cheryl (WBH)</cp:lastModifiedBy>
  <cp:revision>2</cp:revision>
  <dcterms:created xsi:type="dcterms:W3CDTF">2026-07-02T18:44:00Z</dcterms:created>
  <dcterms:modified xsi:type="dcterms:W3CDTF">2026-07-02T18:44:00Z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