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324EDB3A">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10146" w:type="dxa"/>
        <w:tblLook w:val="04A0" w:firstRow="1" w:lastRow="0" w:firstColumn="1" w:lastColumn="0" w:noHBand="0" w:noVBand="1"/>
      </w:tblPr>
      <w:tblGrid>
        <w:gridCol w:w="528"/>
        <w:gridCol w:w="4232"/>
        <w:gridCol w:w="5386"/>
      </w:tblGrid>
      <w:tr w:rsidR="00542AC6" w:rsidRPr="0016464B" w14:paraId="6BD971A9" w14:textId="77777777" w:rsidTr="00542AC6">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542AC6" w:rsidRPr="0016464B" w:rsidRDefault="00542AC6">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12B74116" w:rsidR="00542AC6" w:rsidRPr="002F09CF" w:rsidRDefault="00542AC6">
            <w:pPr>
              <w:rPr>
                <w:sz w:val="22"/>
                <w:szCs w:val="22"/>
              </w:rPr>
            </w:pPr>
            <w:r w:rsidRPr="002F09CF">
              <w:rPr>
                <w:sz w:val="22"/>
                <w:szCs w:val="22"/>
              </w:rPr>
              <w:t> Diana Mississian</w:t>
            </w:r>
          </w:p>
        </w:tc>
      </w:tr>
      <w:tr w:rsidR="00542AC6" w:rsidRPr="0016464B" w14:paraId="1C58BA40" w14:textId="77777777" w:rsidTr="00542AC6">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542AC6" w:rsidRPr="0016464B" w:rsidRDefault="00542AC6">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2886776B" w:rsidR="00542AC6" w:rsidRPr="002F09CF" w:rsidRDefault="00542AC6">
            <w:pPr>
              <w:rPr>
                <w:sz w:val="22"/>
                <w:szCs w:val="22"/>
              </w:rPr>
            </w:pPr>
            <w:r w:rsidRPr="002F09CF">
              <w:rPr>
                <w:sz w:val="22"/>
                <w:szCs w:val="22"/>
              </w:rPr>
              <w:t> Risk Manager, Safety Database Analyst</w:t>
            </w:r>
          </w:p>
        </w:tc>
      </w:tr>
      <w:tr w:rsidR="00542AC6" w:rsidRPr="0016464B" w14:paraId="6197B5C4" w14:textId="77777777" w:rsidTr="00542AC6">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542AC6" w:rsidRPr="0016464B" w:rsidRDefault="00542AC6">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5BFDF191" w:rsidR="00542AC6" w:rsidRPr="002F09CF" w:rsidRDefault="00542AC6">
            <w:pPr>
              <w:rPr>
                <w:sz w:val="22"/>
                <w:szCs w:val="22"/>
              </w:rPr>
            </w:pPr>
            <w:r w:rsidRPr="002F09CF">
              <w:rPr>
                <w:sz w:val="22"/>
                <w:szCs w:val="22"/>
              </w:rPr>
              <w:t> Kent Hospital</w:t>
            </w:r>
          </w:p>
        </w:tc>
      </w:tr>
      <w:tr w:rsidR="00542AC6" w:rsidRPr="0016464B" w14:paraId="7E0320E9" w14:textId="77777777" w:rsidTr="00542AC6">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542AC6" w:rsidRPr="0016464B" w:rsidRDefault="00542AC6">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37320FCB" w:rsidR="00542AC6" w:rsidRPr="002F09CF" w:rsidRDefault="00542AC6">
            <w:pPr>
              <w:rPr>
                <w:sz w:val="22"/>
                <w:szCs w:val="22"/>
              </w:rPr>
            </w:pPr>
            <w:r w:rsidRPr="002F09CF">
              <w:rPr>
                <w:sz w:val="22"/>
                <w:szCs w:val="22"/>
              </w:rPr>
              <w:t> Care New England</w:t>
            </w:r>
          </w:p>
        </w:tc>
      </w:tr>
      <w:tr w:rsidR="00542AC6" w:rsidRPr="0016464B" w14:paraId="61A174BA" w14:textId="77777777" w:rsidTr="00542AC6">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542AC6" w:rsidRPr="0016464B" w:rsidRDefault="00542AC6">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5AF3D683" w:rsidR="00542AC6" w:rsidRPr="002F09CF" w:rsidRDefault="00542AC6">
            <w:pPr>
              <w:rPr>
                <w:sz w:val="22"/>
                <w:szCs w:val="22"/>
              </w:rPr>
            </w:pPr>
            <w:r w:rsidRPr="002F09CF">
              <w:rPr>
                <w:sz w:val="22"/>
                <w:szCs w:val="22"/>
              </w:rPr>
              <w:t> Risk Management</w:t>
            </w:r>
          </w:p>
        </w:tc>
      </w:tr>
      <w:tr w:rsidR="00542AC6" w:rsidRPr="0016464B" w14:paraId="474F4313" w14:textId="77777777" w:rsidTr="00542AC6">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542AC6" w:rsidRPr="0016464B" w:rsidRDefault="00542AC6">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542AC6" w:rsidRPr="0016464B" w:rsidRDefault="00542AC6">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188BE3B1" w:rsidR="00542AC6" w:rsidRPr="002F09CF" w:rsidRDefault="00542AC6" w:rsidP="00542AC6">
            <w:pPr>
              <w:spacing w:before="100" w:beforeAutospacing="1" w:after="100" w:afterAutospacing="1"/>
              <w:outlineLvl w:val="0"/>
              <w:rPr>
                <w:rFonts w:eastAsia="Times New Roman"/>
                <w:kern w:val="36"/>
                <w:sz w:val="22"/>
                <w:szCs w:val="22"/>
              </w:rPr>
            </w:pPr>
            <w:r w:rsidRPr="002F09CF">
              <w:rPr>
                <w:sz w:val="22"/>
                <w:szCs w:val="22"/>
              </w:rPr>
              <w:t> </w:t>
            </w:r>
            <w:r w:rsidRPr="002F09CF">
              <w:rPr>
                <w:rFonts w:eastAsia="Times New Roman"/>
                <w:kern w:val="36"/>
                <w:sz w:val="22"/>
                <w:szCs w:val="22"/>
              </w:rPr>
              <w:t>Building a Culture of Safety Through Standardized Event Reporting and High Reliability</w:t>
            </w:r>
          </w:p>
        </w:tc>
      </w:tr>
      <w:tr w:rsidR="00884166" w:rsidRPr="0016464B" w14:paraId="78F77BA3" w14:textId="77777777" w:rsidTr="00542AC6">
        <w:trPr>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4A08DB4C" w14:textId="4AEDE6CA" w:rsidR="002F09CF"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Pr>
                <w:sz w:val="22"/>
                <w:szCs w:val="22"/>
              </w:rPr>
              <w:t>Kent Hospital</w:t>
            </w:r>
          </w:p>
          <w:p w14:paraId="382BF9DF" w14:textId="398BFA29" w:rsidR="002F09CF"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Pr>
                <w:sz w:val="22"/>
                <w:szCs w:val="22"/>
              </w:rPr>
              <w:t>Risk Management</w:t>
            </w:r>
          </w:p>
          <w:p w14:paraId="78836296" w14:textId="77777777" w:rsidR="002F09CF" w:rsidRDefault="00542AC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455 Tollgate Rd</w:t>
            </w:r>
            <w:r w:rsidR="002F09CF">
              <w:rPr>
                <w:sz w:val="22"/>
                <w:szCs w:val="22"/>
              </w:rPr>
              <w:t>.</w:t>
            </w:r>
          </w:p>
          <w:p w14:paraId="176E2E6B" w14:textId="728BCEA4" w:rsidR="00884166" w:rsidRPr="002F09CF" w:rsidRDefault="00542AC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Warwick RI 02886</w:t>
            </w:r>
          </w:p>
        </w:tc>
      </w:tr>
      <w:tr w:rsidR="00884166" w:rsidRPr="0016464B" w14:paraId="536F9E0B" w14:textId="77777777" w:rsidTr="00542AC6">
        <w:trPr>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5193DE57" w:rsidR="00884166" w:rsidRPr="002F09CF" w:rsidRDefault="00542AC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401-736-1994</w:t>
            </w:r>
          </w:p>
        </w:tc>
      </w:tr>
      <w:tr w:rsidR="00884166" w:rsidRPr="0016464B" w14:paraId="2283243F" w14:textId="77777777" w:rsidTr="00542AC6">
        <w:trPr>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69B64928" w:rsidR="00884166" w:rsidRPr="002F09CF" w:rsidRDefault="00542AC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dmississian@kentri.org</w:t>
            </w:r>
          </w:p>
        </w:tc>
      </w:tr>
      <w:tr w:rsidR="00884166" w:rsidRPr="0016464B" w14:paraId="5C184B96" w14:textId="77777777" w:rsidTr="00542AC6">
        <w:trPr>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0F4EBC02" w14:textId="77777777" w:rsidR="002F09CF" w:rsidRDefault="00CF569B" w:rsidP="002F09C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Kent Hospital</w:t>
            </w:r>
          </w:p>
          <w:p w14:paraId="4748DCA1" w14:textId="1FF1208D" w:rsidR="002F09CF" w:rsidRDefault="002F09CF" w:rsidP="002F09C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Suzanne Duni</w:t>
            </w:r>
            <w:r>
              <w:rPr>
                <w:sz w:val="22"/>
                <w:szCs w:val="22"/>
              </w:rPr>
              <w:t>-</w:t>
            </w:r>
            <w:r w:rsidRPr="002F09CF">
              <w:rPr>
                <w:sz w:val="22"/>
                <w:szCs w:val="22"/>
              </w:rPr>
              <w:t>Briggs</w:t>
            </w:r>
          </w:p>
          <w:p w14:paraId="1CE5C2CE" w14:textId="023D9376" w:rsidR="002F09CF" w:rsidRDefault="002F09CF" w:rsidP="002F09C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455 Tollgate Rd</w:t>
            </w:r>
            <w:r>
              <w:rPr>
                <w:sz w:val="22"/>
                <w:szCs w:val="22"/>
              </w:rPr>
              <w:t>.</w:t>
            </w:r>
          </w:p>
          <w:p w14:paraId="3C59CCF3" w14:textId="0C44544C" w:rsidR="00CF569B" w:rsidRPr="002F09CF"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Warwick RI 02886</w:t>
            </w:r>
          </w:p>
        </w:tc>
      </w:tr>
      <w:tr w:rsidR="00884166" w:rsidRPr="0016464B" w14:paraId="69805615" w14:textId="77777777" w:rsidTr="00542AC6">
        <w:trPr>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76261EBE" w14:textId="77777777" w:rsidR="00884166" w:rsidRDefault="00CF569B"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sidRPr="002F09CF">
              <w:rPr>
                <w:sz w:val="22"/>
                <w:szCs w:val="22"/>
              </w:rPr>
              <w:t>Beth Fecteau</w:t>
            </w:r>
          </w:p>
          <w:p w14:paraId="4DEC1463" w14:textId="74D70B07" w:rsidR="002F09CF" w:rsidRPr="002F09CF"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Pr>
                <w:sz w:val="22"/>
                <w:szCs w:val="22"/>
              </w:rPr>
              <w:t>1 Blackstone Blvd</w:t>
            </w:r>
          </w:p>
          <w:p w14:paraId="46CAB4A1" w14:textId="4AD38DD8" w:rsidR="00384F65" w:rsidRPr="002F09CF"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sz w:val="22"/>
                <w:szCs w:val="22"/>
              </w:rPr>
            </w:pPr>
            <w:r>
              <w:rPr>
                <w:sz w:val="22"/>
                <w:szCs w:val="22"/>
              </w:rPr>
              <w:t>Providence, RI 02806</w:t>
            </w:r>
          </w:p>
        </w:tc>
      </w:tr>
      <w:tr w:rsidR="00884166" w:rsidRPr="0016464B" w14:paraId="637B728E" w14:textId="77777777" w:rsidTr="00542AC6">
        <w:trPr>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04B21D80" w14:textId="77777777" w:rsidR="00884166"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Michael Wagner</w:t>
            </w:r>
          </w:p>
          <w:p w14:paraId="200BAE55" w14:textId="77777777" w:rsidR="009830B1" w:rsidRDefault="009830B1"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45 Willard Ave</w:t>
            </w:r>
          </w:p>
          <w:p w14:paraId="73D23D02" w14:textId="1D8DEFA3" w:rsidR="009830B1" w:rsidRPr="0016464B" w:rsidRDefault="009830B1"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Providence, RI 02905</w:t>
            </w:r>
          </w:p>
        </w:tc>
      </w:tr>
      <w:tr w:rsidR="00884166" w:rsidRPr="0016464B" w14:paraId="65A51CCD" w14:textId="77777777" w:rsidTr="00542AC6">
        <w:trPr>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47CEF6AF" w14:textId="77777777" w:rsidR="00884166" w:rsidRDefault="002F09CF"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Todd Conklin</w:t>
            </w:r>
          </w:p>
          <w:p w14:paraId="69DA7575" w14:textId="77777777" w:rsidR="009830B1" w:rsidRDefault="009830B1" w:rsidP="009830B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45 Willard Ave</w:t>
            </w:r>
          </w:p>
          <w:p w14:paraId="5F0533E7" w14:textId="7CD8FA31" w:rsidR="009830B1" w:rsidRPr="0016464B" w:rsidRDefault="009830B1" w:rsidP="009830B1">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Providence, RI 02905</w:t>
            </w:r>
          </w:p>
        </w:tc>
      </w:tr>
    </w:tbl>
    <w:p w14:paraId="05563CCE" w14:textId="77777777" w:rsidR="00466C8B" w:rsidRPr="009E4BB3" w:rsidRDefault="00466C8B" w:rsidP="009E4BB3">
      <w:pPr>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31C5C72F" w:rsidR="00884166" w:rsidRPr="0016464B" w:rsidRDefault="00DF44DC"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784078">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7193FADA"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784078">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49BAB04"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784078">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rPr>
          <w:rFonts w:ascii="Arial" w:hAnsi="Arial" w:cs="Arial"/>
        </w:rPr>
      </w:sdtEndPr>
      <w:sdtContent>
        <w:p w14:paraId="0DA616AE" w14:textId="77777777" w:rsidR="00DC5773" w:rsidRPr="009E4BB3" w:rsidRDefault="00DC5773" w:rsidP="009E4BB3">
          <w:pPr>
            <w:ind w:left="360"/>
            <w:rPr>
              <w:b/>
              <w:bCs/>
            </w:rPr>
          </w:pPr>
          <w:r w:rsidRPr="009E4BB3">
            <w:rPr>
              <w:b/>
              <w:bCs/>
            </w:rPr>
            <w:t>Kent Hospital identified significant variation in the quality, consistency, and completeness of patient safety event reporting. Inconsistent harm classification, limited documentation, variable understanding of near misses, and differing reporting practices reduced the organization's ability to identify trends, perform meaningful investigations, and proactively mitigate risk. These inconsistencies also limited opportunities to share lessons learned and strengthen a culture of safety across departments.</w:t>
          </w:r>
        </w:p>
        <w:p w14:paraId="12863A5B" w14:textId="3E6C0DCD" w:rsidR="00884166" w:rsidRPr="009E4BB3" w:rsidRDefault="00DC5773" w:rsidP="009E4BB3">
          <w:pPr>
            <w:ind w:left="360"/>
            <w:rPr>
              <w:b/>
              <w:bCs/>
            </w:rPr>
          </w:pPr>
          <w:r w:rsidRPr="009E4BB3">
            <w:rPr>
              <w:b/>
              <w:bCs/>
            </w:rPr>
            <w:t xml:space="preserve">To address these challenges, the Risk Management Department developed a comprehensive patient safety reporting initiative centered on High Reliability Organization (HRO) principles and </w:t>
          </w:r>
          <w:r w:rsidRPr="009E4BB3">
            <w:rPr>
              <w:b/>
              <w:bCs/>
            </w:rPr>
            <w:lastRenderedPageBreak/>
            <w:t xml:space="preserve">standardized event reporting. The project included development of a more user friendly and standardized RLDatix reporting guidance via </w:t>
          </w:r>
          <w:r w:rsidR="009E4BB3" w:rsidRPr="009E4BB3">
            <w:rPr>
              <w:b/>
              <w:bCs/>
            </w:rPr>
            <w:t>computer-based</w:t>
          </w:r>
          <w:r w:rsidR="009E4BB3">
            <w:rPr>
              <w:b/>
              <w:bCs/>
            </w:rPr>
            <w:t xml:space="preserve"> and in -person</w:t>
          </w:r>
          <w:r w:rsidRPr="009E4BB3">
            <w:rPr>
              <w:b/>
              <w:bCs/>
            </w:rPr>
            <w:t xml:space="preserve"> learning, harm classification decision-support tools &amp; educational materials, Good Catch incentives, real-time coaching, leadership collaboration, and improved event review processes. The initiative established consistent expectations for reporting, strengthened multidisciplinary investigations, improved communication between frontline staff and leadership, and created a sustainable framework for continuous learning and organizational improvement.</w:t>
          </w: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9E4BB3"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b/>
          <w:bCs/>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 xml:space="preserve">or other indicators of improvement that </w:t>
      </w:r>
      <w:r w:rsidR="00EE224A" w:rsidRPr="009E4BB3">
        <w:t>dem</w:t>
      </w:r>
      <w:r w:rsidR="004A3826" w:rsidRPr="009E4BB3">
        <w:t>onstrate</w:t>
      </w:r>
      <w:r w:rsidR="00FC73A4" w:rsidRPr="009E4BB3">
        <w:t xml:space="preserve"> changes in process, behaviors, systems, or oversight</w:t>
      </w:r>
      <w:r w:rsidR="00FC73A4" w:rsidRPr="009E4BB3">
        <w:rPr>
          <w:i/>
          <w:iCs/>
        </w:rPr>
        <w:t xml:space="preserve">. </w:t>
      </w:r>
    </w:p>
    <w:p w14:paraId="6F9D2A6B" w14:textId="77777777" w:rsidR="0016464B" w:rsidRPr="009E4BB3"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b/>
          <w:bCs/>
        </w:rPr>
      </w:pPr>
    </w:p>
    <w:sdt>
      <w:sdtPr>
        <w:rPr>
          <w:b/>
          <w:bCs/>
        </w:rPr>
        <w:id w:val="-660471893"/>
        <w:placeholder>
          <w:docPart w:val="274FA4BE163E4271BE3A62164480DBAC"/>
        </w:placeholder>
      </w:sdtPr>
      <w:sdtEndPr/>
      <w:sdtContent>
        <w:p w14:paraId="7F9C0842" w14:textId="77777777" w:rsidR="00DC5773" w:rsidRPr="009E4BB3" w:rsidRDefault="00DC5773" w:rsidP="009E4BB3">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b/>
              <w:bCs/>
            </w:rPr>
          </w:pPr>
          <w:r w:rsidRPr="009E4BB3">
            <w:rPr>
              <w:b/>
              <w:bCs/>
            </w:rPr>
            <w:t>Success was demonstrated through improvements in reporting quality, staff engagement, and organizational workflow rather than a single performance metric. Following implementation, Risk Management observed more complete and consistent event documentation, improved harm classification accuracy, increased identification of near misses and Good Catch opportunities, and stronger multidisciplinary collaboration during event review and follow-up. Leaders reported greater confidence in using event data to identify trends, prioritize corrective actions, and monitor organizational risk.</w:t>
          </w:r>
        </w:p>
        <w:p w14:paraId="4D0DC30A" w14:textId="25AEEF79" w:rsidR="0016464B" w:rsidRPr="009E4BB3" w:rsidRDefault="00DC5773" w:rsidP="009E4BB3">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b/>
              <w:bCs/>
            </w:rPr>
          </w:pPr>
          <w:r w:rsidRPr="009E4BB3">
            <w:rPr>
              <w:b/>
              <w:bCs/>
            </w:rPr>
            <w:t>Additional indicators included improved educational engagement, standardized investigative practices, enhanced communication between frontline staff and leadership, and increased use of event reporting as a learning tool rather than solely a documentation requirement. These process improvements strengthened organizational oversight and created a more reliable system for identifying patient safety risks before they resulted in patient harm.</w:t>
          </w:r>
        </w:p>
      </w:sdtContent>
    </w:sdt>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7B3BBFF7" w14:textId="3BFDD046" w:rsidR="0016464B" w:rsidRPr="009E4BB3" w:rsidRDefault="000F2CBA" w:rsidP="009E4BB3">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sdt>
      <w:sdtPr>
        <w:rPr>
          <w:rFonts w:ascii="Roboto" w:hAnsi="Roboto" w:cs="Calibri"/>
          <w:b/>
          <w:bCs/>
        </w:rPr>
        <w:id w:val="590126716"/>
        <w:placeholder>
          <w:docPart w:val="274FA4BE163E4271BE3A62164480DBAC"/>
        </w:placeholder>
      </w:sdtPr>
      <w:sdtEndPr/>
      <w:sdtContent>
        <w:p w14:paraId="0C89FC8B" w14:textId="64B52558" w:rsidR="00884166" w:rsidRPr="009E4BB3" w:rsidRDefault="009E4BB3" w:rsidP="009E4BB3">
          <w:pPr>
            <w:pStyle w:val="pdq2pgselectionanchorcontainer"/>
            <w:ind w:left="360"/>
            <w:rPr>
              <w:rFonts w:ascii="Arial" w:hAnsi="Arial" w:cs="Arial"/>
              <w:b/>
              <w:bCs/>
              <w:sz w:val="22"/>
              <w:szCs w:val="22"/>
            </w:rPr>
          </w:pPr>
          <w:r w:rsidRPr="009E4BB3">
            <w:rPr>
              <w:rFonts w:ascii="Arial" w:hAnsi="Arial" w:cs="Arial"/>
              <w:b/>
              <w:bCs/>
              <w:sz w:val="22"/>
              <w:szCs w:val="22"/>
            </w:rPr>
            <w:t xml:space="preserve">By improving the quality and consistency of patient safety reporting, Kent Hospital strengthened its ability to identify system vulnerabilities earlier, implement corrective actions more effectively, and reduce the likelihood of repeat events. Standardized reporting improved </w:t>
          </w:r>
          <w:r>
            <w:rPr>
              <w:rFonts w:ascii="Arial" w:hAnsi="Arial" w:cs="Arial"/>
              <w:b/>
              <w:bCs/>
              <w:sz w:val="22"/>
              <w:szCs w:val="22"/>
            </w:rPr>
            <w:t xml:space="preserve">reporting events and </w:t>
          </w:r>
          <w:r w:rsidRPr="009E4BB3">
            <w:rPr>
              <w:rFonts w:ascii="Arial" w:hAnsi="Arial" w:cs="Arial"/>
              <w:b/>
              <w:bCs/>
              <w:sz w:val="22"/>
              <w:szCs w:val="22"/>
            </w:rPr>
            <w:t>the quality of investigations, supported more meaningful root cause analyses, enhanced leadership oversight, and reinforced a Just Culture focused on learning rather than blame. The initiative has become an integral component of Kent Hospital's patient safety program and continues to support proactive risk reduction, regulatory readiness, and continuous quality improvement.</w:t>
          </w:r>
        </w:p>
      </w:sdtContent>
    </w:sdt>
    <w:p w14:paraId="797C0F32" w14:textId="3DA424CA"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9E4BB3">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50E7C237"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9E4BB3">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504DAF5A" w:rsidR="00884166" w:rsidRPr="009E4BB3"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009E4BB3">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No</w:t>
      </w:r>
      <w:r w:rsidR="009E4BB3">
        <w:rPr>
          <w:rFonts w:ascii="Roboto" w:hAnsi="Roboto" w:cs="Calibri"/>
        </w:rPr>
        <w:t xml:space="preserve">   </w:t>
      </w:r>
      <w:r w:rsidR="009E4BB3" w:rsidRPr="009E4BB3">
        <w:rPr>
          <w:rFonts w:ascii="Roboto" w:hAnsi="Roboto" w:cs="Calibri"/>
          <w:b/>
          <w:bCs/>
        </w:rPr>
        <w:t>While the educational materials and implementation strategy were developed locally, they are grounded in nationally recognized HRO, Just Culture, and patient safety best practices.</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1F7DAC90" w:rsidR="00ED28BB" w:rsidRPr="000242C1" w:rsidRDefault="000242C1" w:rsidP="009E4BB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hanging="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9E4BB3" w:rsidRPr="009E4BB3">
            <w:rPr>
              <w:rFonts w:ascii="Roboto" w:hAnsi="Roboto" w:cs="Calibri"/>
              <w:b/>
              <w:bCs/>
            </w:rPr>
            <w:t xml:space="preserve">This project embodies AEIX's mission by proactively strengthening patient safety, reducing organizational risk, and promoting innovation through standardized event reporting and High Reliability Organization principles. Rather than responding to adverse events after they occur, the initiative emphasizes early identification of hazards, consistent reporting practices, multidisciplinary learning, and continuous improvement. The project created a sustainable framework that safeguards </w:t>
          </w:r>
          <w:r w:rsidR="009E4BB3" w:rsidRPr="009E4BB3">
            <w:rPr>
              <w:rFonts w:ascii="Roboto" w:hAnsi="Roboto" w:cs="Calibri"/>
              <w:b/>
              <w:bCs/>
            </w:rPr>
            <w:lastRenderedPageBreak/>
            <w:t>patients, supports caregivers, enhances organizational decision-making, and can be replicated by other healthcare organizations seeking to improve safety culture and risk management.</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dtPr>
      <w:sdtEndPr/>
      <w:sdtContent>
        <w:p w14:paraId="79D78D7F" w14:textId="588664A8" w:rsidR="00884166" w:rsidRPr="0098406E" w:rsidRDefault="009E4BB3" w:rsidP="009E4BB3">
          <w:pPr>
            <w:ind w:left="360"/>
            <w:rPr>
              <w:rFonts w:ascii="Roboto" w:hAnsi="Roboto" w:cs="Calibri"/>
              <w:b/>
              <w:bCs/>
            </w:rPr>
          </w:pPr>
          <w:r w:rsidRPr="009E4BB3">
            <w:rPr>
              <w:rFonts w:ascii="Roboto" w:hAnsi="Roboto" w:cs="Calibri"/>
              <w:b/>
              <w:bCs/>
            </w:rPr>
            <w:t>This initiative represents more than a reporting improvement—it reflects a cultural transformation. By simplifying reporting expectations, providing practical education, encouraging Good Catch reporting, and strengthening leadership engagement, Kent Hospital has shifted event reporting from a reactive process to a proactive patient safety strategy. The project continues to evolve and serves as the foundation for future High Reliability and patient safety initiatives throughout the organization.</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29784C72" w14:textId="77777777" w:rsidR="004E264F" w:rsidRPr="0016464B" w:rsidRDefault="004E264F" w:rsidP="009E4BB3">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p w14:paraId="26F87F37" w14:textId="77777777" w:rsidR="008E7052" w:rsidRDefault="008E7052" w:rsidP="000C2C6A">
      <w:pPr>
        <w:rPr>
          <w:rFonts w:ascii="Roboto" w:hAnsi="Roboto"/>
          <w:bCs/>
        </w:rPr>
      </w:pPr>
    </w:p>
    <w:p w14:paraId="5E785180" w14:textId="77777777" w:rsidR="008E7052" w:rsidRDefault="008E7052" w:rsidP="000C2C6A">
      <w:pPr>
        <w:rPr>
          <w:rFonts w:ascii="Roboto" w:hAnsi="Roboto"/>
          <w:bCs/>
        </w:rPr>
      </w:pPr>
    </w:p>
    <w:p w14:paraId="28D7BDC2" w14:textId="77777777" w:rsidR="008E7052" w:rsidRDefault="008E7052" w:rsidP="000C2C6A">
      <w:pPr>
        <w:rPr>
          <w:rFonts w:ascii="Roboto" w:hAnsi="Roboto"/>
          <w:bCs/>
        </w:rPr>
      </w:pPr>
    </w:p>
    <w:p w14:paraId="0B316E28" w14:textId="77777777" w:rsidR="008E7052" w:rsidRDefault="008E7052" w:rsidP="000C2C6A">
      <w:pPr>
        <w:rPr>
          <w:rFonts w:ascii="Roboto" w:hAnsi="Roboto"/>
          <w:bCs/>
        </w:rPr>
      </w:pPr>
    </w:p>
    <w:p w14:paraId="111B2879" w14:textId="77777777" w:rsidR="008E7052" w:rsidRDefault="008E7052" w:rsidP="000C2C6A">
      <w:pPr>
        <w:rPr>
          <w:rFonts w:ascii="Roboto" w:hAnsi="Roboto"/>
          <w:bCs/>
        </w:rPr>
      </w:pPr>
    </w:p>
    <w:p w14:paraId="5A1A2766" w14:textId="77777777" w:rsidR="008E7052" w:rsidRDefault="008E7052" w:rsidP="000C2C6A">
      <w:pPr>
        <w:rPr>
          <w:rFonts w:ascii="Roboto" w:hAnsi="Roboto"/>
          <w:bCs/>
        </w:rPr>
      </w:pPr>
    </w:p>
    <w:p w14:paraId="4700C4C9" w14:textId="77777777" w:rsidR="008E7052" w:rsidRDefault="008E7052" w:rsidP="000C2C6A">
      <w:pPr>
        <w:rPr>
          <w:rFonts w:ascii="Roboto" w:hAnsi="Roboto"/>
          <w:bCs/>
        </w:rPr>
      </w:pPr>
    </w:p>
    <w:p w14:paraId="69350B14" w14:textId="77777777" w:rsidR="008E7052" w:rsidRDefault="008E7052" w:rsidP="000C2C6A">
      <w:pPr>
        <w:rPr>
          <w:rFonts w:ascii="Roboto" w:hAnsi="Roboto"/>
          <w:bCs/>
        </w:rPr>
      </w:pPr>
    </w:p>
    <w:p w14:paraId="485C3577" w14:textId="77777777" w:rsidR="008E7052" w:rsidRDefault="008E7052" w:rsidP="000C2C6A">
      <w:pPr>
        <w:rPr>
          <w:rFonts w:ascii="Roboto" w:hAnsi="Roboto"/>
          <w:bCs/>
        </w:rPr>
      </w:pPr>
    </w:p>
    <w:p w14:paraId="70A4A07F" w14:textId="77777777" w:rsidR="008E7052" w:rsidRDefault="008E7052" w:rsidP="000C2C6A">
      <w:pPr>
        <w:rPr>
          <w:rFonts w:ascii="Roboto" w:hAnsi="Roboto"/>
          <w:bCs/>
        </w:rPr>
      </w:pPr>
    </w:p>
    <w:p w14:paraId="0DAB38D8" w14:textId="77777777" w:rsidR="008E7052" w:rsidRDefault="008E7052" w:rsidP="000C2C6A">
      <w:pPr>
        <w:rPr>
          <w:rFonts w:ascii="Roboto" w:hAnsi="Roboto"/>
          <w:bCs/>
        </w:rPr>
      </w:pPr>
    </w:p>
    <w:p w14:paraId="153F4D36" w14:textId="77777777" w:rsidR="008E7052" w:rsidRDefault="008E7052" w:rsidP="000C2C6A">
      <w:pPr>
        <w:rPr>
          <w:rFonts w:ascii="Roboto" w:hAnsi="Roboto"/>
          <w:bCs/>
        </w:rPr>
      </w:pPr>
    </w:p>
    <w:p w14:paraId="67F2FFDE" w14:textId="77777777" w:rsidR="008E7052" w:rsidRDefault="008E7052" w:rsidP="000C2C6A">
      <w:pPr>
        <w:rPr>
          <w:rFonts w:ascii="Roboto" w:hAnsi="Roboto"/>
          <w:bCs/>
        </w:rPr>
      </w:pPr>
    </w:p>
    <w:p w14:paraId="1C0ABFED" w14:textId="77777777" w:rsidR="008E7052" w:rsidRDefault="008E7052" w:rsidP="000C2C6A">
      <w:pPr>
        <w:rPr>
          <w:rFonts w:ascii="Roboto" w:hAnsi="Roboto"/>
          <w:bCs/>
        </w:rPr>
      </w:pPr>
    </w:p>
    <w:p w14:paraId="1815CD25" w14:textId="77777777" w:rsidR="008E7052" w:rsidRDefault="008E7052" w:rsidP="000C2C6A">
      <w:pPr>
        <w:rPr>
          <w:rFonts w:ascii="Roboto" w:hAnsi="Roboto"/>
          <w:bCs/>
        </w:rPr>
      </w:pPr>
    </w:p>
    <w:p w14:paraId="1E8C153B" w14:textId="77777777" w:rsidR="008E7052" w:rsidRDefault="008E7052" w:rsidP="000C2C6A">
      <w:pPr>
        <w:rPr>
          <w:rFonts w:ascii="Roboto" w:hAnsi="Roboto"/>
          <w:bCs/>
        </w:rPr>
      </w:pPr>
    </w:p>
    <w:p w14:paraId="3791D498" w14:textId="77777777" w:rsidR="008E7052" w:rsidRDefault="008E7052" w:rsidP="000C2C6A">
      <w:pPr>
        <w:rPr>
          <w:rFonts w:ascii="Roboto" w:hAnsi="Roboto"/>
          <w:bCs/>
        </w:rPr>
      </w:pPr>
    </w:p>
    <w:p w14:paraId="34802970" w14:textId="77777777" w:rsidR="008E7052" w:rsidRDefault="008E7052" w:rsidP="000C2C6A">
      <w:pPr>
        <w:rPr>
          <w:rFonts w:ascii="Roboto" w:hAnsi="Roboto"/>
          <w:bCs/>
        </w:rPr>
      </w:pPr>
    </w:p>
    <w:p w14:paraId="46D0AEFE" w14:textId="77777777" w:rsidR="008E7052" w:rsidRDefault="008E7052" w:rsidP="000C2C6A">
      <w:pPr>
        <w:rPr>
          <w:rFonts w:ascii="Roboto" w:hAnsi="Roboto"/>
          <w:bCs/>
        </w:rPr>
      </w:pPr>
    </w:p>
    <w:p w14:paraId="0977F4BE" w14:textId="77777777" w:rsidR="008E7052" w:rsidRDefault="008E7052" w:rsidP="000C2C6A">
      <w:pPr>
        <w:rPr>
          <w:rFonts w:ascii="Roboto" w:hAnsi="Roboto"/>
          <w:bCs/>
        </w:rPr>
      </w:pPr>
    </w:p>
    <w:p w14:paraId="20D585D4" w14:textId="77777777" w:rsidR="008E7052" w:rsidRDefault="008E7052" w:rsidP="000C2C6A">
      <w:pPr>
        <w:rPr>
          <w:rFonts w:ascii="Roboto" w:hAnsi="Roboto"/>
          <w:bCs/>
        </w:rPr>
      </w:pPr>
    </w:p>
    <w:p w14:paraId="3D46AE70" w14:textId="77777777" w:rsidR="008E7052" w:rsidRPr="00185E2E" w:rsidRDefault="008E7052" w:rsidP="008E7052">
      <w:pPr>
        <w:rPr>
          <w:b/>
          <w:bCs/>
        </w:rPr>
      </w:pPr>
      <w:r w:rsidRPr="00185E2E">
        <w:rPr>
          <w:b/>
          <w:bCs/>
        </w:rPr>
        <w:t>Supporting Materials Attached</w:t>
      </w:r>
    </w:p>
    <w:p w14:paraId="76759544" w14:textId="353C7CBF" w:rsidR="008E7052" w:rsidRPr="00865C51" w:rsidRDefault="00865C51" w:rsidP="00865C51">
      <w:pPr>
        <w:pStyle w:val="ListParagraph"/>
        <w:widowControl/>
        <w:numPr>
          <w:ilvl w:val="0"/>
          <w:numId w:val="43"/>
        </w:numPr>
        <w:autoSpaceDE/>
        <w:autoSpaceDN/>
        <w:spacing w:after="160" w:line="278" w:lineRule="auto"/>
      </w:pPr>
      <w:r w:rsidRPr="00865C51">
        <w:rPr>
          <w:b/>
          <w:bCs/>
        </w:rPr>
        <w:lastRenderedPageBreak/>
        <w:t xml:space="preserve">Event Reporting Computer-Based Learning </w:t>
      </w:r>
      <w:r>
        <w:t xml:space="preserve">for all staff </w:t>
      </w:r>
      <w:r w:rsidRPr="00185E2E">
        <w:t xml:space="preserve">during onboarding, reeducated during Competency Fairs and as requested or encouraged by leadership. </w:t>
      </w:r>
    </w:p>
    <w:p w14:paraId="17EC47DE" w14:textId="77777777" w:rsidR="008E7052" w:rsidRPr="00185E2E" w:rsidRDefault="008E7052" w:rsidP="008E7052">
      <w:r w:rsidRPr="00185E2E">
        <w:rPr>
          <w:noProof/>
        </w:rPr>
        <w:drawing>
          <wp:inline distT="0" distB="0" distL="0" distR="0" wp14:anchorId="6621117B" wp14:editId="1DA87ED1">
            <wp:extent cx="6134100" cy="7112825"/>
            <wp:effectExtent l="0" t="0" r="0" b="0"/>
            <wp:docPr id="155774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996" name=""/>
                    <pic:cNvPicPr/>
                  </pic:nvPicPr>
                  <pic:blipFill>
                    <a:blip r:embed="rId11"/>
                    <a:stretch>
                      <a:fillRect/>
                    </a:stretch>
                  </pic:blipFill>
                  <pic:spPr>
                    <a:xfrm>
                      <a:off x="0" y="0"/>
                      <a:ext cx="6138626" cy="7118073"/>
                    </a:xfrm>
                    <a:prstGeom prst="rect">
                      <a:avLst/>
                    </a:prstGeom>
                  </pic:spPr>
                </pic:pic>
              </a:graphicData>
            </a:graphic>
          </wp:inline>
        </w:drawing>
      </w:r>
    </w:p>
    <w:p w14:paraId="5E8DD45B" w14:textId="77777777" w:rsidR="008E7052" w:rsidRPr="00185E2E" w:rsidRDefault="008E7052" w:rsidP="008E7052"/>
    <w:p w14:paraId="0218968E" w14:textId="77777777" w:rsidR="008E7052" w:rsidRPr="00185E2E" w:rsidRDefault="008E7052" w:rsidP="008E7052">
      <w:r w:rsidRPr="00185E2E">
        <w:rPr>
          <w:noProof/>
        </w:rPr>
        <w:lastRenderedPageBreak/>
        <w:drawing>
          <wp:inline distT="0" distB="0" distL="0" distR="0" wp14:anchorId="6415D750" wp14:editId="34F20B87">
            <wp:extent cx="6170605" cy="7219950"/>
            <wp:effectExtent l="0" t="0" r="1905" b="0"/>
            <wp:docPr id="524206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06308" name=""/>
                    <pic:cNvPicPr/>
                  </pic:nvPicPr>
                  <pic:blipFill>
                    <a:blip r:embed="rId12"/>
                    <a:stretch>
                      <a:fillRect/>
                    </a:stretch>
                  </pic:blipFill>
                  <pic:spPr>
                    <a:xfrm>
                      <a:off x="0" y="0"/>
                      <a:ext cx="6178388" cy="7229057"/>
                    </a:xfrm>
                    <a:prstGeom prst="rect">
                      <a:avLst/>
                    </a:prstGeom>
                  </pic:spPr>
                </pic:pic>
              </a:graphicData>
            </a:graphic>
          </wp:inline>
        </w:drawing>
      </w:r>
    </w:p>
    <w:p w14:paraId="045483DB" w14:textId="77777777" w:rsidR="008E7052" w:rsidRPr="00185E2E" w:rsidRDefault="008E7052" w:rsidP="008E7052">
      <w:r w:rsidRPr="00185E2E">
        <w:rPr>
          <w:noProof/>
        </w:rPr>
        <w:lastRenderedPageBreak/>
        <w:drawing>
          <wp:inline distT="0" distB="0" distL="0" distR="0" wp14:anchorId="44B1105C" wp14:editId="57CD7CDA">
            <wp:extent cx="6281938" cy="7162800"/>
            <wp:effectExtent l="0" t="0" r="5080" b="0"/>
            <wp:docPr id="2129709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09332" name=""/>
                    <pic:cNvPicPr/>
                  </pic:nvPicPr>
                  <pic:blipFill>
                    <a:blip r:embed="rId13"/>
                    <a:stretch>
                      <a:fillRect/>
                    </a:stretch>
                  </pic:blipFill>
                  <pic:spPr>
                    <a:xfrm>
                      <a:off x="0" y="0"/>
                      <a:ext cx="6287858" cy="7169551"/>
                    </a:xfrm>
                    <a:prstGeom prst="rect">
                      <a:avLst/>
                    </a:prstGeom>
                  </pic:spPr>
                </pic:pic>
              </a:graphicData>
            </a:graphic>
          </wp:inline>
        </w:drawing>
      </w:r>
    </w:p>
    <w:p w14:paraId="395319DD" w14:textId="77777777" w:rsidR="008E7052" w:rsidRPr="00185E2E" w:rsidRDefault="008E7052" w:rsidP="008E7052">
      <w:r w:rsidRPr="00185E2E">
        <w:rPr>
          <w:noProof/>
        </w:rPr>
        <w:lastRenderedPageBreak/>
        <w:drawing>
          <wp:inline distT="0" distB="0" distL="0" distR="0" wp14:anchorId="013B9276" wp14:editId="656E757B">
            <wp:extent cx="6338496" cy="7143750"/>
            <wp:effectExtent l="0" t="0" r="5715" b="0"/>
            <wp:docPr id="412840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40315" name=""/>
                    <pic:cNvPicPr/>
                  </pic:nvPicPr>
                  <pic:blipFill>
                    <a:blip r:embed="rId14"/>
                    <a:stretch>
                      <a:fillRect/>
                    </a:stretch>
                  </pic:blipFill>
                  <pic:spPr>
                    <a:xfrm>
                      <a:off x="0" y="0"/>
                      <a:ext cx="6343615" cy="7149520"/>
                    </a:xfrm>
                    <a:prstGeom prst="rect">
                      <a:avLst/>
                    </a:prstGeom>
                  </pic:spPr>
                </pic:pic>
              </a:graphicData>
            </a:graphic>
          </wp:inline>
        </w:drawing>
      </w:r>
    </w:p>
    <w:p w14:paraId="441411AF" w14:textId="77777777" w:rsidR="008E7052" w:rsidRPr="00185E2E" w:rsidRDefault="008E7052" w:rsidP="008E7052"/>
    <w:p w14:paraId="50F75265" w14:textId="77777777" w:rsidR="008E7052" w:rsidRPr="00185E2E" w:rsidRDefault="008E7052" w:rsidP="008E7052"/>
    <w:p w14:paraId="3B20D524" w14:textId="77777777" w:rsidR="008E7052" w:rsidRDefault="008E7052" w:rsidP="008E7052"/>
    <w:p w14:paraId="557C859C" w14:textId="77777777" w:rsidR="00865C51" w:rsidRDefault="00865C51" w:rsidP="008E7052"/>
    <w:p w14:paraId="1FACF455" w14:textId="77777777" w:rsidR="00865C51" w:rsidRDefault="00865C51" w:rsidP="008E7052"/>
    <w:p w14:paraId="58F849EA" w14:textId="77777777" w:rsidR="00865C51" w:rsidRDefault="00865C51" w:rsidP="008E7052"/>
    <w:p w14:paraId="38BD22C8" w14:textId="77777777" w:rsidR="00865C51" w:rsidRDefault="00865C51" w:rsidP="008E7052"/>
    <w:p w14:paraId="5E043D61" w14:textId="77777777" w:rsidR="00865C51" w:rsidRDefault="00865C51" w:rsidP="008E7052"/>
    <w:p w14:paraId="7F027408" w14:textId="77777777" w:rsidR="00865C51" w:rsidRDefault="00865C51" w:rsidP="008E7052"/>
    <w:p w14:paraId="1DC47149" w14:textId="77777777" w:rsidR="00865C51" w:rsidRDefault="00865C51" w:rsidP="008E7052"/>
    <w:p w14:paraId="2D14BC3F" w14:textId="77777777" w:rsidR="00865C51" w:rsidRDefault="00865C51" w:rsidP="008E7052"/>
    <w:p w14:paraId="3776E495" w14:textId="77777777" w:rsidR="00865C51" w:rsidRDefault="00865C51" w:rsidP="008E7052"/>
    <w:p w14:paraId="1CADCBC7" w14:textId="77777777" w:rsidR="00865C51" w:rsidRDefault="00865C51" w:rsidP="008E7052"/>
    <w:p w14:paraId="00CE381F" w14:textId="66EC4341" w:rsidR="00865C51" w:rsidRPr="00865C51" w:rsidRDefault="00865C51" w:rsidP="008E7052">
      <w:pPr>
        <w:pStyle w:val="ListParagraph"/>
        <w:numPr>
          <w:ilvl w:val="0"/>
          <w:numId w:val="42"/>
        </w:numPr>
        <w:rPr>
          <w:b/>
          <w:bCs/>
        </w:rPr>
      </w:pPr>
      <w:r w:rsidRPr="00865C51">
        <w:rPr>
          <w:b/>
          <w:bCs/>
        </w:rPr>
        <w:lastRenderedPageBreak/>
        <w:t>Risk Management &amp; Patient Safety</w:t>
      </w:r>
      <w:r>
        <w:rPr>
          <w:b/>
          <w:bCs/>
        </w:rPr>
        <w:t xml:space="preserve"> </w:t>
      </w:r>
      <w:r w:rsidRPr="00865C51">
        <w:rPr>
          <w:b/>
          <w:bCs/>
        </w:rPr>
        <w:t xml:space="preserve">In-Person Education </w:t>
      </w:r>
      <w:r>
        <w:rPr>
          <w:b/>
          <w:bCs/>
        </w:rPr>
        <w:t>–</w:t>
      </w:r>
      <w:r w:rsidRPr="00865C51">
        <w:rPr>
          <w:b/>
          <w:bCs/>
        </w:rPr>
        <w:t xml:space="preserve"> Orientation</w:t>
      </w:r>
    </w:p>
    <w:p w14:paraId="54D7B00E" w14:textId="77777777" w:rsidR="00865C51" w:rsidRDefault="008E7052" w:rsidP="008E7052">
      <w:r w:rsidRPr="00185E2E">
        <w:rPr>
          <w:noProof/>
        </w:rPr>
        <w:drawing>
          <wp:inline distT="0" distB="0" distL="0" distR="0" wp14:anchorId="599DEDDD" wp14:editId="1ABB1818">
            <wp:extent cx="6116918" cy="7010400"/>
            <wp:effectExtent l="0" t="0" r="0" b="0"/>
            <wp:docPr id="155517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76037" name=""/>
                    <pic:cNvPicPr/>
                  </pic:nvPicPr>
                  <pic:blipFill>
                    <a:blip r:embed="rId15"/>
                    <a:stretch>
                      <a:fillRect/>
                    </a:stretch>
                  </pic:blipFill>
                  <pic:spPr>
                    <a:xfrm>
                      <a:off x="0" y="0"/>
                      <a:ext cx="6121352" cy="7015482"/>
                    </a:xfrm>
                    <a:prstGeom prst="rect">
                      <a:avLst/>
                    </a:prstGeom>
                  </pic:spPr>
                </pic:pic>
              </a:graphicData>
            </a:graphic>
          </wp:inline>
        </w:drawing>
      </w:r>
    </w:p>
    <w:p w14:paraId="759DA7DB" w14:textId="45A7E3B7" w:rsidR="008E7052" w:rsidRPr="00185E2E" w:rsidRDefault="008E7052" w:rsidP="008E7052">
      <w:r w:rsidRPr="00185E2E">
        <w:rPr>
          <w:noProof/>
        </w:rPr>
        <w:lastRenderedPageBreak/>
        <w:drawing>
          <wp:inline distT="0" distB="0" distL="0" distR="0" wp14:anchorId="16981E46" wp14:editId="64CE16D4">
            <wp:extent cx="6069409" cy="7105650"/>
            <wp:effectExtent l="0" t="0" r="7620" b="0"/>
            <wp:docPr id="727560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60814" name=""/>
                    <pic:cNvPicPr/>
                  </pic:nvPicPr>
                  <pic:blipFill>
                    <a:blip r:embed="rId16"/>
                    <a:stretch>
                      <a:fillRect/>
                    </a:stretch>
                  </pic:blipFill>
                  <pic:spPr>
                    <a:xfrm>
                      <a:off x="0" y="0"/>
                      <a:ext cx="6074204" cy="7111264"/>
                    </a:xfrm>
                    <a:prstGeom prst="rect">
                      <a:avLst/>
                    </a:prstGeom>
                  </pic:spPr>
                </pic:pic>
              </a:graphicData>
            </a:graphic>
          </wp:inline>
        </w:drawing>
      </w:r>
      <w:r w:rsidRPr="00185E2E">
        <w:rPr>
          <w:noProof/>
        </w:rPr>
        <w:lastRenderedPageBreak/>
        <w:drawing>
          <wp:inline distT="0" distB="0" distL="0" distR="0" wp14:anchorId="514EB415" wp14:editId="535F6723">
            <wp:extent cx="6121410" cy="7067550"/>
            <wp:effectExtent l="0" t="0" r="0" b="0"/>
            <wp:docPr id="601221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21129" name=""/>
                    <pic:cNvPicPr/>
                  </pic:nvPicPr>
                  <pic:blipFill>
                    <a:blip r:embed="rId17"/>
                    <a:stretch>
                      <a:fillRect/>
                    </a:stretch>
                  </pic:blipFill>
                  <pic:spPr>
                    <a:xfrm>
                      <a:off x="0" y="0"/>
                      <a:ext cx="6124975" cy="7071666"/>
                    </a:xfrm>
                    <a:prstGeom prst="rect">
                      <a:avLst/>
                    </a:prstGeom>
                  </pic:spPr>
                </pic:pic>
              </a:graphicData>
            </a:graphic>
          </wp:inline>
        </w:drawing>
      </w:r>
      <w:r w:rsidRPr="00185E2E">
        <w:rPr>
          <w:noProof/>
        </w:rPr>
        <w:lastRenderedPageBreak/>
        <w:drawing>
          <wp:inline distT="0" distB="0" distL="0" distR="0" wp14:anchorId="0E049DEF" wp14:editId="622B82BC">
            <wp:extent cx="6327694" cy="4686300"/>
            <wp:effectExtent l="0" t="0" r="0" b="0"/>
            <wp:docPr id="201965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57161" name=""/>
                    <pic:cNvPicPr/>
                  </pic:nvPicPr>
                  <pic:blipFill>
                    <a:blip r:embed="rId18"/>
                    <a:stretch>
                      <a:fillRect/>
                    </a:stretch>
                  </pic:blipFill>
                  <pic:spPr>
                    <a:xfrm>
                      <a:off x="0" y="0"/>
                      <a:ext cx="6330896" cy="4688672"/>
                    </a:xfrm>
                    <a:prstGeom prst="rect">
                      <a:avLst/>
                    </a:prstGeom>
                  </pic:spPr>
                </pic:pic>
              </a:graphicData>
            </a:graphic>
          </wp:inline>
        </w:drawing>
      </w:r>
    </w:p>
    <w:p w14:paraId="2D4710C8" w14:textId="77777777" w:rsidR="008E7052" w:rsidRDefault="008E7052" w:rsidP="008E7052"/>
    <w:p w14:paraId="3FAC8671" w14:textId="77777777" w:rsidR="00865C51" w:rsidRDefault="00865C51" w:rsidP="008E7052"/>
    <w:p w14:paraId="3992294D" w14:textId="77777777" w:rsidR="00865C51" w:rsidRDefault="00865C51" w:rsidP="008E7052"/>
    <w:p w14:paraId="43095905" w14:textId="77777777" w:rsidR="00865C51" w:rsidRDefault="00865C51" w:rsidP="008E7052"/>
    <w:p w14:paraId="664838A3" w14:textId="77777777" w:rsidR="00865C51" w:rsidRDefault="00865C51" w:rsidP="008E7052"/>
    <w:p w14:paraId="6C1520E1" w14:textId="77777777" w:rsidR="00865C51" w:rsidRDefault="00865C51" w:rsidP="008E7052"/>
    <w:p w14:paraId="3DE5DD2E" w14:textId="77777777" w:rsidR="00865C51" w:rsidRDefault="00865C51" w:rsidP="008E7052"/>
    <w:p w14:paraId="0F4DF310" w14:textId="77777777" w:rsidR="00865C51" w:rsidRDefault="00865C51" w:rsidP="008E7052"/>
    <w:p w14:paraId="09F3536C" w14:textId="77777777" w:rsidR="00865C51" w:rsidRDefault="00865C51" w:rsidP="008E7052"/>
    <w:p w14:paraId="1F969C04" w14:textId="77777777" w:rsidR="00865C51" w:rsidRDefault="00865C51" w:rsidP="008E7052"/>
    <w:p w14:paraId="4CB37D5F" w14:textId="77777777" w:rsidR="00865C51" w:rsidRDefault="00865C51" w:rsidP="008E7052"/>
    <w:p w14:paraId="78E9EBAC" w14:textId="77777777" w:rsidR="00865C51" w:rsidRDefault="00865C51" w:rsidP="008E7052"/>
    <w:p w14:paraId="324AD15B" w14:textId="77777777" w:rsidR="00865C51" w:rsidRDefault="00865C51" w:rsidP="008E7052"/>
    <w:p w14:paraId="08F6DD1A" w14:textId="77777777" w:rsidR="00865C51" w:rsidRDefault="00865C51" w:rsidP="008E7052"/>
    <w:p w14:paraId="16BDD5A6" w14:textId="77777777" w:rsidR="00865C51" w:rsidRDefault="00865C51" w:rsidP="008E7052"/>
    <w:p w14:paraId="78693465" w14:textId="77777777" w:rsidR="00865C51" w:rsidRDefault="00865C51" w:rsidP="008E7052"/>
    <w:p w14:paraId="22A0EA5B" w14:textId="77777777" w:rsidR="00865C51" w:rsidRDefault="00865C51" w:rsidP="008E7052"/>
    <w:p w14:paraId="6FDB0E14" w14:textId="77777777" w:rsidR="00865C51" w:rsidRDefault="00865C51" w:rsidP="008E7052"/>
    <w:p w14:paraId="497C239F" w14:textId="77777777" w:rsidR="00865C51" w:rsidRDefault="00865C51" w:rsidP="008E7052"/>
    <w:p w14:paraId="60E8BD4B" w14:textId="77777777" w:rsidR="00865C51" w:rsidRDefault="00865C51" w:rsidP="008E7052"/>
    <w:p w14:paraId="76291F03" w14:textId="77777777" w:rsidR="00865C51" w:rsidRDefault="00865C51" w:rsidP="008E7052"/>
    <w:p w14:paraId="2E846C3D" w14:textId="77777777" w:rsidR="00865C51" w:rsidRDefault="00865C51" w:rsidP="008E7052"/>
    <w:p w14:paraId="0F14B5FC" w14:textId="77777777" w:rsidR="00865C51" w:rsidRDefault="00865C51" w:rsidP="008E7052"/>
    <w:p w14:paraId="24A57EBA" w14:textId="77777777" w:rsidR="00865C51" w:rsidRDefault="00865C51" w:rsidP="008E7052"/>
    <w:p w14:paraId="768AFC65" w14:textId="77777777" w:rsidR="00865C51" w:rsidRDefault="00865C51" w:rsidP="008E7052"/>
    <w:p w14:paraId="55B90C43" w14:textId="77777777" w:rsidR="00865C51" w:rsidRDefault="00865C51" w:rsidP="008E7052"/>
    <w:p w14:paraId="3C14ABD6" w14:textId="77777777" w:rsidR="00865C51" w:rsidRDefault="00865C51" w:rsidP="008E7052"/>
    <w:p w14:paraId="26C77F36" w14:textId="77777777" w:rsidR="00865C51" w:rsidRDefault="00865C51" w:rsidP="008E7052"/>
    <w:p w14:paraId="20DFC68D" w14:textId="38B4C2C2" w:rsidR="00865C51" w:rsidRDefault="008E7052" w:rsidP="008E7052">
      <w:pPr>
        <w:widowControl/>
        <w:numPr>
          <w:ilvl w:val="0"/>
          <w:numId w:val="41"/>
        </w:numPr>
        <w:autoSpaceDE/>
        <w:autoSpaceDN/>
        <w:spacing w:after="160" w:line="278" w:lineRule="auto"/>
      </w:pPr>
      <w:r w:rsidRPr="00865C51">
        <w:rPr>
          <w:b/>
          <w:bCs/>
        </w:rPr>
        <w:lastRenderedPageBreak/>
        <w:t>HRO Committee P</w:t>
      </w:r>
      <w:r w:rsidR="00865C51">
        <w:rPr>
          <w:b/>
          <w:bCs/>
        </w:rPr>
        <w:t>resentation</w:t>
      </w:r>
      <w:r w:rsidRPr="00185E2E">
        <w:t xml:space="preserve"> </w:t>
      </w:r>
      <w:r w:rsidR="00865C51">
        <w:t xml:space="preserve">In -Person monthly meeting </w:t>
      </w:r>
      <w:r w:rsidRPr="00185E2E">
        <w:t xml:space="preserve">highlighting safety data, severity scale, harm events and investigations/next steps, monthly trends and safety matrix, quarterly report outs, review of cases that required Apparent Cause Analysis (ACA) or other reviews Root Cause Analysis (RCA), </w:t>
      </w:r>
      <w:r>
        <w:t>Rapid Cycle</w:t>
      </w:r>
      <w:r w:rsidR="00865C51">
        <w:t xml:space="preserve"> </w:t>
      </w:r>
      <w:r>
        <w:t>Improvement</w:t>
      </w:r>
      <w:r w:rsidRPr="00185E2E">
        <w:t xml:space="preserve"> (RCI) or Collaborative Case Review (CCR), Practice Alerts/Updates, and Education.</w:t>
      </w:r>
    </w:p>
    <w:p w14:paraId="1A5B9D1A" w14:textId="1C69C60E" w:rsidR="008E7052" w:rsidRPr="00185E2E" w:rsidRDefault="008E7052" w:rsidP="00865C51">
      <w:pPr>
        <w:widowControl/>
        <w:autoSpaceDE/>
        <w:autoSpaceDN/>
        <w:spacing w:after="160" w:line="278" w:lineRule="auto"/>
        <w:ind w:left="360"/>
      </w:pPr>
      <w:r w:rsidRPr="00185E2E">
        <w:rPr>
          <w:noProof/>
        </w:rPr>
        <w:drawing>
          <wp:inline distT="0" distB="0" distL="0" distR="0" wp14:anchorId="3A4346E1" wp14:editId="420304BF">
            <wp:extent cx="5943600" cy="6924040"/>
            <wp:effectExtent l="0" t="0" r="0" b="0"/>
            <wp:docPr id="1605600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00663" name=""/>
                    <pic:cNvPicPr/>
                  </pic:nvPicPr>
                  <pic:blipFill>
                    <a:blip r:embed="rId19"/>
                    <a:stretch>
                      <a:fillRect/>
                    </a:stretch>
                  </pic:blipFill>
                  <pic:spPr>
                    <a:xfrm>
                      <a:off x="0" y="0"/>
                      <a:ext cx="5943600" cy="6924040"/>
                    </a:xfrm>
                    <a:prstGeom prst="rect">
                      <a:avLst/>
                    </a:prstGeom>
                  </pic:spPr>
                </pic:pic>
              </a:graphicData>
            </a:graphic>
          </wp:inline>
        </w:drawing>
      </w:r>
    </w:p>
    <w:p w14:paraId="47A6BD1F" w14:textId="77777777" w:rsidR="008E7052" w:rsidRDefault="008E7052" w:rsidP="008E7052">
      <w:r>
        <w:rPr>
          <w:noProof/>
        </w:rPr>
        <w:lastRenderedPageBreak/>
        <w:drawing>
          <wp:inline distT="0" distB="0" distL="0" distR="0" wp14:anchorId="08D9F985" wp14:editId="2D460689">
            <wp:extent cx="5943600" cy="6781800"/>
            <wp:effectExtent l="0" t="0" r="0" b="0"/>
            <wp:docPr id="100152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27810" name=""/>
                    <pic:cNvPicPr/>
                  </pic:nvPicPr>
                  <pic:blipFill>
                    <a:blip r:embed="rId20"/>
                    <a:stretch>
                      <a:fillRect/>
                    </a:stretch>
                  </pic:blipFill>
                  <pic:spPr>
                    <a:xfrm>
                      <a:off x="0" y="0"/>
                      <a:ext cx="5943600" cy="6781800"/>
                    </a:xfrm>
                    <a:prstGeom prst="rect">
                      <a:avLst/>
                    </a:prstGeom>
                  </pic:spPr>
                </pic:pic>
              </a:graphicData>
            </a:graphic>
          </wp:inline>
        </w:drawing>
      </w:r>
      <w:r>
        <w:rPr>
          <w:noProof/>
        </w:rPr>
        <w:lastRenderedPageBreak/>
        <w:drawing>
          <wp:inline distT="0" distB="0" distL="0" distR="0" wp14:anchorId="7275777B" wp14:editId="1F758EFD">
            <wp:extent cx="5943600" cy="6974840"/>
            <wp:effectExtent l="0" t="0" r="0" b="0"/>
            <wp:docPr id="59381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16572" name=""/>
                    <pic:cNvPicPr/>
                  </pic:nvPicPr>
                  <pic:blipFill>
                    <a:blip r:embed="rId21"/>
                    <a:stretch>
                      <a:fillRect/>
                    </a:stretch>
                  </pic:blipFill>
                  <pic:spPr>
                    <a:xfrm>
                      <a:off x="0" y="0"/>
                      <a:ext cx="5943600" cy="6974840"/>
                    </a:xfrm>
                    <a:prstGeom prst="rect">
                      <a:avLst/>
                    </a:prstGeom>
                  </pic:spPr>
                </pic:pic>
              </a:graphicData>
            </a:graphic>
          </wp:inline>
        </w:drawing>
      </w:r>
    </w:p>
    <w:p w14:paraId="62B21D76" w14:textId="77777777" w:rsidR="008E7052" w:rsidRDefault="008E7052" w:rsidP="008E7052">
      <w:r>
        <w:rPr>
          <w:noProof/>
        </w:rPr>
        <w:lastRenderedPageBreak/>
        <w:drawing>
          <wp:inline distT="0" distB="0" distL="0" distR="0" wp14:anchorId="7BFB4990" wp14:editId="7242085A">
            <wp:extent cx="5943600" cy="6800215"/>
            <wp:effectExtent l="0" t="0" r="0" b="635"/>
            <wp:docPr id="917230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30282" name=""/>
                    <pic:cNvPicPr/>
                  </pic:nvPicPr>
                  <pic:blipFill>
                    <a:blip r:embed="rId22"/>
                    <a:stretch>
                      <a:fillRect/>
                    </a:stretch>
                  </pic:blipFill>
                  <pic:spPr>
                    <a:xfrm>
                      <a:off x="0" y="0"/>
                      <a:ext cx="5943600" cy="6800215"/>
                    </a:xfrm>
                    <a:prstGeom prst="rect">
                      <a:avLst/>
                    </a:prstGeom>
                  </pic:spPr>
                </pic:pic>
              </a:graphicData>
            </a:graphic>
          </wp:inline>
        </w:drawing>
      </w:r>
      <w:r>
        <w:rPr>
          <w:noProof/>
        </w:rPr>
        <w:lastRenderedPageBreak/>
        <w:drawing>
          <wp:inline distT="0" distB="0" distL="0" distR="0" wp14:anchorId="6A476C63" wp14:editId="5116105E">
            <wp:extent cx="5943600" cy="6929755"/>
            <wp:effectExtent l="0" t="0" r="0" b="4445"/>
            <wp:docPr id="51992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22469" name=""/>
                    <pic:cNvPicPr/>
                  </pic:nvPicPr>
                  <pic:blipFill>
                    <a:blip r:embed="rId23"/>
                    <a:stretch>
                      <a:fillRect/>
                    </a:stretch>
                  </pic:blipFill>
                  <pic:spPr>
                    <a:xfrm>
                      <a:off x="0" y="0"/>
                      <a:ext cx="5943600" cy="6929755"/>
                    </a:xfrm>
                    <a:prstGeom prst="rect">
                      <a:avLst/>
                    </a:prstGeom>
                  </pic:spPr>
                </pic:pic>
              </a:graphicData>
            </a:graphic>
          </wp:inline>
        </w:drawing>
      </w:r>
      <w:r>
        <w:rPr>
          <w:noProof/>
        </w:rPr>
        <w:lastRenderedPageBreak/>
        <w:drawing>
          <wp:inline distT="0" distB="0" distL="0" distR="0" wp14:anchorId="567ED065" wp14:editId="5A0DA242">
            <wp:extent cx="5943600" cy="6824345"/>
            <wp:effectExtent l="0" t="0" r="0" b="0"/>
            <wp:docPr id="1249908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08293" name=""/>
                    <pic:cNvPicPr/>
                  </pic:nvPicPr>
                  <pic:blipFill>
                    <a:blip r:embed="rId24"/>
                    <a:stretch>
                      <a:fillRect/>
                    </a:stretch>
                  </pic:blipFill>
                  <pic:spPr>
                    <a:xfrm>
                      <a:off x="0" y="0"/>
                      <a:ext cx="5943600" cy="6824345"/>
                    </a:xfrm>
                    <a:prstGeom prst="rect">
                      <a:avLst/>
                    </a:prstGeom>
                  </pic:spPr>
                </pic:pic>
              </a:graphicData>
            </a:graphic>
          </wp:inline>
        </w:drawing>
      </w:r>
      <w:r>
        <w:rPr>
          <w:noProof/>
        </w:rPr>
        <w:lastRenderedPageBreak/>
        <w:drawing>
          <wp:inline distT="0" distB="0" distL="0" distR="0" wp14:anchorId="5816A993" wp14:editId="78743FF2">
            <wp:extent cx="5943600" cy="6733540"/>
            <wp:effectExtent l="0" t="0" r="0" b="0"/>
            <wp:docPr id="37024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4440" name=""/>
                    <pic:cNvPicPr/>
                  </pic:nvPicPr>
                  <pic:blipFill>
                    <a:blip r:embed="rId25"/>
                    <a:stretch>
                      <a:fillRect/>
                    </a:stretch>
                  </pic:blipFill>
                  <pic:spPr>
                    <a:xfrm>
                      <a:off x="0" y="0"/>
                      <a:ext cx="5943600" cy="6733540"/>
                    </a:xfrm>
                    <a:prstGeom prst="rect">
                      <a:avLst/>
                    </a:prstGeom>
                  </pic:spPr>
                </pic:pic>
              </a:graphicData>
            </a:graphic>
          </wp:inline>
        </w:drawing>
      </w:r>
      <w:r>
        <w:rPr>
          <w:noProof/>
        </w:rPr>
        <w:lastRenderedPageBreak/>
        <w:drawing>
          <wp:inline distT="0" distB="0" distL="0" distR="0" wp14:anchorId="1EC61510" wp14:editId="3022BAE4">
            <wp:extent cx="5943600" cy="6819265"/>
            <wp:effectExtent l="0" t="0" r="0" b="635"/>
            <wp:docPr id="38544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40874" name=""/>
                    <pic:cNvPicPr/>
                  </pic:nvPicPr>
                  <pic:blipFill>
                    <a:blip r:embed="rId26"/>
                    <a:stretch>
                      <a:fillRect/>
                    </a:stretch>
                  </pic:blipFill>
                  <pic:spPr>
                    <a:xfrm>
                      <a:off x="0" y="0"/>
                      <a:ext cx="5943600" cy="6819265"/>
                    </a:xfrm>
                    <a:prstGeom prst="rect">
                      <a:avLst/>
                    </a:prstGeom>
                  </pic:spPr>
                </pic:pic>
              </a:graphicData>
            </a:graphic>
          </wp:inline>
        </w:drawing>
      </w:r>
      <w:r>
        <w:rPr>
          <w:noProof/>
        </w:rPr>
        <w:lastRenderedPageBreak/>
        <w:drawing>
          <wp:inline distT="0" distB="0" distL="0" distR="0" wp14:anchorId="3F687985" wp14:editId="260AC21A">
            <wp:extent cx="5943600" cy="4230370"/>
            <wp:effectExtent l="0" t="0" r="0" b="0"/>
            <wp:docPr id="63220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07856" name=""/>
                    <pic:cNvPicPr/>
                  </pic:nvPicPr>
                  <pic:blipFill>
                    <a:blip r:embed="rId27"/>
                    <a:stretch>
                      <a:fillRect/>
                    </a:stretch>
                  </pic:blipFill>
                  <pic:spPr>
                    <a:xfrm>
                      <a:off x="0" y="0"/>
                      <a:ext cx="5943600" cy="4230370"/>
                    </a:xfrm>
                    <a:prstGeom prst="rect">
                      <a:avLst/>
                    </a:prstGeom>
                  </pic:spPr>
                </pic:pic>
              </a:graphicData>
            </a:graphic>
          </wp:inline>
        </w:drawing>
      </w:r>
    </w:p>
    <w:p w14:paraId="073CA9B1" w14:textId="77777777" w:rsidR="008E7052" w:rsidRPr="00F71237" w:rsidRDefault="008E7052" w:rsidP="000C2C6A">
      <w:pPr>
        <w:rPr>
          <w:rFonts w:ascii="Roboto" w:hAnsi="Roboto"/>
          <w:bCs/>
        </w:rPr>
      </w:pPr>
    </w:p>
    <w:sectPr w:rsidR="008E7052" w:rsidRPr="00F71237" w:rsidSect="004E264F">
      <w:headerReference w:type="default" r:id="rId28"/>
      <w:footerReference w:type="even" r:id="rId29"/>
      <w:footerReference w:type="default" r:id="rId30"/>
      <w:headerReference w:type="first" r:id="rId31"/>
      <w:footerReference w:type="first" r:id="rId32"/>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D7F1" w14:textId="77777777" w:rsidR="00DF44DC" w:rsidRDefault="00DF44DC" w:rsidP="000E1106">
      <w:r>
        <w:separator/>
      </w:r>
    </w:p>
  </w:endnote>
  <w:endnote w:type="continuationSeparator" w:id="0">
    <w:p w14:paraId="0649A6EF" w14:textId="77777777" w:rsidR="00DF44DC" w:rsidRDefault="00DF44DC"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6E2DD" w14:textId="77777777" w:rsidR="00DF44DC" w:rsidRDefault="00DF44DC" w:rsidP="000E1106">
      <w:r>
        <w:separator/>
      </w:r>
    </w:p>
  </w:footnote>
  <w:footnote w:type="continuationSeparator" w:id="0">
    <w:p w14:paraId="6C7C932D" w14:textId="77777777" w:rsidR="00DF44DC" w:rsidRDefault="00DF44DC"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8C7C84"/>
    <w:multiLevelType w:val="hybridMultilevel"/>
    <w:tmpl w:val="7060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2"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2B6851"/>
    <w:multiLevelType w:val="multilevel"/>
    <w:tmpl w:val="BEFE86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5"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F403A4"/>
    <w:multiLevelType w:val="multilevel"/>
    <w:tmpl w:val="BEFE86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9"/>
  </w:num>
  <w:num w:numId="2" w16cid:durableId="221332768">
    <w:abstractNumId w:val="0"/>
  </w:num>
  <w:num w:numId="3" w16cid:durableId="1686134529">
    <w:abstractNumId w:val="25"/>
  </w:num>
  <w:num w:numId="4" w16cid:durableId="948053049">
    <w:abstractNumId w:val="8"/>
  </w:num>
  <w:num w:numId="5" w16cid:durableId="704865118">
    <w:abstractNumId w:val="3"/>
  </w:num>
  <w:num w:numId="6" w16cid:durableId="2122718385">
    <w:abstractNumId w:val="11"/>
  </w:num>
  <w:num w:numId="7" w16cid:durableId="1520046426">
    <w:abstractNumId w:val="32"/>
  </w:num>
  <w:num w:numId="8" w16cid:durableId="1644233879">
    <w:abstractNumId w:val="37"/>
  </w:num>
  <w:num w:numId="9" w16cid:durableId="892614925">
    <w:abstractNumId w:val="29"/>
  </w:num>
  <w:num w:numId="10" w16cid:durableId="687372725">
    <w:abstractNumId w:val="17"/>
  </w:num>
  <w:num w:numId="11" w16cid:durableId="291912578">
    <w:abstractNumId w:val="16"/>
  </w:num>
  <w:num w:numId="12" w16cid:durableId="2002462321">
    <w:abstractNumId w:val="4"/>
  </w:num>
  <w:num w:numId="13" w16cid:durableId="1102995918">
    <w:abstractNumId w:val="39"/>
  </w:num>
  <w:num w:numId="14" w16cid:durableId="1054550535">
    <w:abstractNumId w:val="1"/>
  </w:num>
  <w:num w:numId="15" w16cid:durableId="599917450">
    <w:abstractNumId w:val="38"/>
  </w:num>
  <w:num w:numId="16" w16cid:durableId="857349219">
    <w:abstractNumId w:val="7"/>
  </w:num>
  <w:num w:numId="17" w16cid:durableId="657929143">
    <w:abstractNumId w:val="6"/>
  </w:num>
  <w:num w:numId="18" w16cid:durableId="810252714">
    <w:abstractNumId w:val="20"/>
  </w:num>
  <w:num w:numId="19" w16cid:durableId="421604918">
    <w:abstractNumId w:val="40"/>
  </w:num>
  <w:num w:numId="20" w16cid:durableId="1564179827">
    <w:abstractNumId w:val="33"/>
  </w:num>
  <w:num w:numId="21" w16cid:durableId="551818281">
    <w:abstractNumId w:val="9"/>
  </w:num>
  <w:num w:numId="22" w16cid:durableId="491600419">
    <w:abstractNumId w:val="2"/>
  </w:num>
  <w:num w:numId="23" w16cid:durableId="1983074985">
    <w:abstractNumId w:val="30"/>
  </w:num>
  <w:num w:numId="24" w16cid:durableId="1516649997">
    <w:abstractNumId w:val="23"/>
  </w:num>
  <w:num w:numId="25" w16cid:durableId="1205829486">
    <w:abstractNumId w:val="34"/>
  </w:num>
  <w:num w:numId="26" w16cid:durableId="127549549">
    <w:abstractNumId w:val="13"/>
  </w:num>
  <w:num w:numId="27" w16cid:durableId="1280911028">
    <w:abstractNumId w:val="10"/>
  </w:num>
  <w:num w:numId="28" w16cid:durableId="217254620">
    <w:abstractNumId w:val="21"/>
  </w:num>
  <w:num w:numId="29" w16cid:durableId="524102375">
    <w:abstractNumId w:val="12"/>
  </w:num>
  <w:num w:numId="30" w16cid:durableId="1684555352">
    <w:abstractNumId w:val="41"/>
  </w:num>
  <w:num w:numId="31" w16cid:durableId="1004086290">
    <w:abstractNumId w:val="28"/>
  </w:num>
  <w:num w:numId="32" w16cid:durableId="786461485">
    <w:abstractNumId w:val="24"/>
  </w:num>
  <w:num w:numId="33" w16cid:durableId="1370106769">
    <w:abstractNumId w:val="15"/>
  </w:num>
  <w:num w:numId="34" w16cid:durableId="953900033">
    <w:abstractNumId w:val="26"/>
  </w:num>
  <w:num w:numId="35" w16cid:durableId="1041325723">
    <w:abstractNumId w:val="14"/>
  </w:num>
  <w:num w:numId="36" w16cid:durableId="1004743889">
    <w:abstractNumId w:val="42"/>
  </w:num>
  <w:num w:numId="37" w16cid:durableId="279847957">
    <w:abstractNumId w:val="35"/>
  </w:num>
  <w:num w:numId="38" w16cid:durableId="662126278">
    <w:abstractNumId w:val="31"/>
  </w:num>
  <w:num w:numId="39" w16cid:durableId="1414857215">
    <w:abstractNumId w:val="22"/>
  </w:num>
  <w:num w:numId="40" w16cid:durableId="1295138397">
    <w:abstractNumId w:val="36"/>
  </w:num>
  <w:num w:numId="41" w16cid:durableId="287199977">
    <w:abstractNumId w:val="27"/>
  </w:num>
  <w:num w:numId="42" w16cid:durableId="1428502174">
    <w:abstractNumId w:val="5"/>
  </w:num>
  <w:num w:numId="43" w16cid:durableId="19015510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09CF"/>
    <w:rsid w:val="002F32AA"/>
    <w:rsid w:val="002F5FA7"/>
    <w:rsid w:val="002F66AB"/>
    <w:rsid w:val="003105B4"/>
    <w:rsid w:val="00314075"/>
    <w:rsid w:val="00327637"/>
    <w:rsid w:val="00331337"/>
    <w:rsid w:val="00341B82"/>
    <w:rsid w:val="003504D4"/>
    <w:rsid w:val="00363C57"/>
    <w:rsid w:val="00363E12"/>
    <w:rsid w:val="003760A1"/>
    <w:rsid w:val="00381474"/>
    <w:rsid w:val="00381A14"/>
    <w:rsid w:val="00384C29"/>
    <w:rsid w:val="00384F65"/>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59E4"/>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2AC6"/>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4078"/>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65C51"/>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E7052"/>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19CE"/>
    <w:rsid w:val="009830B1"/>
    <w:rsid w:val="0098460B"/>
    <w:rsid w:val="009907F0"/>
    <w:rsid w:val="009A2288"/>
    <w:rsid w:val="009A6410"/>
    <w:rsid w:val="009A70EF"/>
    <w:rsid w:val="009C2907"/>
    <w:rsid w:val="009D2994"/>
    <w:rsid w:val="009D41D3"/>
    <w:rsid w:val="009D4BD3"/>
    <w:rsid w:val="009E4BB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569B"/>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C5773"/>
    <w:rsid w:val="00DD5C58"/>
    <w:rsid w:val="00DF1E18"/>
    <w:rsid w:val="00DF44DC"/>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customStyle="1" w:styleId="pdq2pgselectionanchorcontainer">
    <w:name w:val="pdq2pg_selectionanchorcontainer"/>
    <w:basedOn w:val="Normal"/>
    <w:rsid w:val="009E4BB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mailto:aeixawards@premierinc.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37519"/>
    <w:rsid w:val="002A5A06"/>
    <w:rsid w:val="00353F07"/>
    <w:rsid w:val="004659E4"/>
    <w:rsid w:val="0067009D"/>
    <w:rsid w:val="00680261"/>
    <w:rsid w:val="00742FFC"/>
    <w:rsid w:val="007B0C47"/>
    <w:rsid w:val="008B16C2"/>
    <w:rsid w:val="00910A2D"/>
    <w:rsid w:val="009819CE"/>
    <w:rsid w:val="00AC4149"/>
    <w:rsid w:val="00B030F4"/>
    <w:rsid w:val="00C45D87"/>
    <w:rsid w:val="00D5025C"/>
    <w:rsid w:val="00E06B1F"/>
    <w:rsid w:val="00E60629"/>
    <w:rsid w:val="00EF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1789</Words>
  <Characters>11290</Characters>
  <Application>Microsoft Office Word</Application>
  <DocSecurity>0</DocSecurity>
  <Lines>352</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Mississian, Diana</cp:lastModifiedBy>
  <cp:revision>3</cp:revision>
  <dcterms:created xsi:type="dcterms:W3CDTF">2026-07-15T22:04:00Z</dcterms:created>
  <dcterms:modified xsi:type="dcterms:W3CDTF">2026-07-16T21:29:00Z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