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71EBC3"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FEC3FF"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39CCE"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626C8"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370F2A4A">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4A030B5E" w:rsidR="00124077" w:rsidRPr="00CC2AC7" w:rsidRDefault="00AA3450">
            <w:pPr>
              <w:rPr>
                <w:rFonts w:ascii="Aptos" w:hAnsi="Aptos"/>
                <w:sz w:val="20"/>
                <w:szCs w:val="20"/>
              </w:rPr>
            </w:pPr>
            <w:r w:rsidRPr="00CC2AC7">
              <w:rPr>
                <w:rFonts w:ascii="Aptos" w:hAnsi="Aptos"/>
                <w:sz w:val="20"/>
                <w:szCs w:val="20"/>
              </w:rPr>
              <w:t>Amanda Brown; Ellen Light</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0FDEE15C" w:rsidR="00124077" w:rsidRPr="00CC2AC7" w:rsidRDefault="00E2122A">
            <w:pPr>
              <w:rPr>
                <w:rFonts w:ascii="Aptos" w:hAnsi="Aptos"/>
                <w:sz w:val="20"/>
                <w:szCs w:val="20"/>
              </w:rPr>
            </w:pPr>
            <w:r w:rsidRPr="00CC2AC7">
              <w:rPr>
                <w:rFonts w:ascii="Aptos" w:hAnsi="Aptos"/>
                <w:sz w:val="20"/>
                <w:szCs w:val="20"/>
              </w:rPr>
              <w:t>VP Nursing Workforce and Professional Practice; VP Risk Management &amp; Patient Safety</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71D7F4FB" w:rsidR="00124077" w:rsidRPr="00CC2AC7" w:rsidRDefault="00E2122A">
            <w:pPr>
              <w:rPr>
                <w:rFonts w:ascii="Aptos" w:hAnsi="Aptos"/>
                <w:sz w:val="20"/>
                <w:szCs w:val="20"/>
              </w:rPr>
            </w:pPr>
            <w:r w:rsidRPr="00CC2AC7">
              <w:rPr>
                <w:rFonts w:ascii="Aptos" w:hAnsi="Aptos"/>
                <w:sz w:val="20"/>
                <w:szCs w:val="20"/>
              </w:rPr>
              <w:t>Baptist Health </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130B05DD" w:rsidR="00124077" w:rsidRPr="00CC2AC7" w:rsidRDefault="00E2122A">
            <w:pPr>
              <w:rPr>
                <w:rFonts w:ascii="Aptos" w:hAnsi="Aptos"/>
                <w:sz w:val="20"/>
                <w:szCs w:val="20"/>
              </w:rPr>
            </w:pPr>
            <w:r w:rsidRPr="00CC2AC7">
              <w:rPr>
                <w:rFonts w:ascii="Aptos" w:hAnsi="Aptos"/>
                <w:sz w:val="20"/>
                <w:szCs w:val="20"/>
              </w:rPr>
              <w:t>Baptist Health</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47C2E7A6" w:rsidR="00124077" w:rsidRPr="00CC2AC7" w:rsidRDefault="00E2122A">
            <w:pPr>
              <w:rPr>
                <w:rFonts w:ascii="Aptos" w:hAnsi="Aptos"/>
                <w:sz w:val="20"/>
                <w:szCs w:val="20"/>
              </w:rPr>
            </w:pPr>
            <w:r w:rsidRPr="00CC2AC7">
              <w:rPr>
                <w:rFonts w:ascii="Aptos" w:hAnsi="Aptos"/>
                <w:sz w:val="20"/>
                <w:szCs w:val="20"/>
              </w:rPr>
              <w:t>System-Wide Telemetry Monitoring</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2675C1CD" w:rsidR="00124077" w:rsidRPr="00CC2AC7" w:rsidRDefault="00124077">
            <w:pPr>
              <w:rPr>
                <w:rFonts w:ascii="Aptos" w:hAnsi="Aptos"/>
                <w:sz w:val="20"/>
                <w:szCs w:val="20"/>
              </w:rPr>
            </w:pPr>
            <w:r w:rsidRPr="00CC2AC7">
              <w:rPr>
                <w:rFonts w:ascii="Aptos" w:hAnsi="Aptos"/>
                <w:sz w:val="20"/>
                <w:szCs w:val="20"/>
              </w:rPr>
              <w:t> </w:t>
            </w:r>
            <w:r w:rsidR="00156333" w:rsidRPr="00CC2AC7">
              <w:rPr>
                <w:rFonts w:ascii="Aptos" w:hAnsi="Aptos"/>
                <w:sz w:val="20"/>
                <w:szCs w:val="20"/>
              </w:rPr>
              <w:t>FHA Telemetry Monitoring Toolkit: Statewide Collaboration to Strengthen Telemetry Safety and Reduce Risk</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0F945BFB" w14:textId="734BF785" w:rsidR="00156333" w:rsidRPr="00CC2AC7" w:rsidRDefault="00156333" w:rsidP="0015633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Ellen Light </w:t>
            </w:r>
          </w:p>
          <w:p w14:paraId="1F6FE01B" w14:textId="6CBB9E4F" w:rsidR="00156333" w:rsidRPr="00CC2AC7" w:rsidRDefault="00156333" w:rsidP="0015633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841 Prudential Drive Suite 1802 </w:t>
            </w:r>
          </w:p>
          <w:p w14:paraId="176E2E6B" w14:textId="21F53DC8" w:rsidR="00884166" w:rsidRPr="00CC2AC7" w:rsidRDefault="00156333" w:rsidP="0015633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r w:rsidRPr="00CC2AC7">
              <w:rPr>
                <w:rFonts w:ascii="Aptos" w:hAnsi="Aptos"/>
                <w:sz w:val="20"/>
                <w:szCs w:val="20"/>
              </w:rPr>
              <w:t>Jacksonville, FL 32207</w:t>
            </w:r>
          </w:p>
        </w:tc>
      </w:tr>
      <w:tr w:rsidR="00884166" w:rsidRPr="0016464B" w14:paraId="536F9E0B"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551361B5" w:rsidR="00884166" w:rsidRPr="00CC2AC7" w:rsidRDefault="00156333"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r w:rsidRPr="00CC2AC7">
              <w:rPr>
                <w:rFonts w:ascii="Aptos" w:hAnsi="Aptos"/>
                <w:sz w:val="20"/>
                <w:szCs w:val="20"/>
              </w:rPr>
              <w:t>904-202-5487</w:t>
            </w:r>
          </w:p>
        </w:tc>
      </w:tr>
      <w:tr w:rsidR="00884166" w:rsidRPr="0016464B" w14:paraId="2283243F"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0A76800" w14:textId="53DB8EBE" w:rsidR="00E2122A" w:rsidRPr="00CC2AC7" w:rsidRDefault="00E2122A"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hyperlink r:id="rId11" w:history="1">
              <w:r w:rsidRPr="00CC2AC7">
                <w:rPr>
                  <w:rStyle w:val="Hyperlink"/>
                  <w:rFonts w:ascii="Aptos" w:hAnsi="Aptos"/>
                  <w:sz w:val="20"/>
                  <w:szCs w:val="20"/>
                </w:rPr>
                <w:t>Ellen.light@bmcjax.com</w:t>
              </w:r>
            </w:hyperlink>
            <w:r w:rsidRPr="00CC2AC7">
              <w:rPr>
                <w:rFonts w:ascii="Aptos" w:hAnsi="Aptos"/>
                <w:sz w:val="20"/>
                <w:szCs w:val="20"/>
              </w:rPr>
              <w:t xml:space="preserve">; </w:t>
            </w:r>
          </w:p>
          <w:p w14:paraId="38DE34EE" w14:textId="3D18EF76" w:rsidR="00884166" w:rsidRPr="00CC2AC7" w:rsidRDefault="00E2122A"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hyperlink r:id="rId12" w:history="1">
              <w:r w:rsidRPr="00CC2AC7">
                <w:rPr>
                  <w:rStyle w:val="Hyperlink"/>
                  <w:rFonts w:ascii="Aptos" w:hAnsi="Aptos"/>
                  <w:sz w:val="20"/>
                  <w:szCs w:val="20"/>
                </w:rPr>
                <w:t>amanda.brown@bmcjax.com</w:t>
              </w:r>
            </w:hyperlink>
          </w:p>
          <w:p w14:paraId="0302EE78" w14:textId="3305B4D7" w:rsidR="00E2122A" w:rsidRPr="00CC2AC7" w:rsidRDefault="00E2122A"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p>
        </w:tc>
      </w:tr>
      <w:tr w:rsidR="00884166" w:rsidRPr="0016464B" w14:paraId="5C184B96"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4D8E6ECF" w14:textId="77777777" w:rsidR="00BE0C1C" w:rsidRPr="00CC2AC7" w:rsidRDefault="00BE0C1C" w:rsidP="00BE0C1C">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Ellen Light, VP Risk Management &amp; Patient Safety </w:t>
            </w:r>
          </w:p>
          <w:p w14:paraId="6C3DE226" w14:textId="77777777" w:rsidR="00BE0C1C" w:rsidRPr="00CC2AC7" w:rsidRDefault="00BE0C1C" w:rsidP="00BE0C1C">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Baptist Health </w:t>
            </w:r>
          </w:p>
          <w:p w14:paraId="1D19BBAD" w14:textId="77777777" w:rsidR="00BE0C1C" w:rsidRPr="00CC2AC7" w:rsidRDefault="00BE0C1C" w:rsidP="00BE0C1C">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841 Prudential Drive Suite 1802 </w:t>
            </w:r>
          </w:p>
          <w:p w14:paraId="3C59CCF3" w14:textId="123DE827" w:rsidR="00884166" w:rsidRPr="00CC2AC7" w:rsidRDefault="00BE0C1C" w:rsidP="00BE0C1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r w:rsidRPr="00CC2AC7">
              <w:rPr>
                <w:rFonts w:ascii="Aptos" w:hAnsi="Aptos"/>
                <w:sz w:val="20"/>
                <w:szCs w:val="20"/>
              </w:rPr>
              <w:t>Jacksonville, FL 32207</w:t>
            </w:r>
          </w:p>
        </w:tc>
      </w:tr>
      <w:tr w:rsidR="00884166" w:rsidRPr="0016464B" w14:paraId="69805615"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5B123636" w14:textId="77777777" w:rsidR="007C3F85" w:rsidRPr="00CC2AC7" w:rsidRDefault="007C3F85" w:rsidP="007C3F85">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Ellen Light, VP Risk Management &amp; Patient Safety </w:t>
            </w:r>
          </w:p>
          <w:p w14:paraId="64B68DCE" w14:textId="77777777" w:rsidR="007C3F85" w:rsidRPr="00CC2AC7" w:rsidRDefault="007C3F85" w:rsidP="007C3F85">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Baptist Health </w:t>
            </w:r>
          </w:p>
          <w:p w14:paraId="4A6B1005" w14:textId="77777777" w:rsidR="007C3F85" w:rsidRPr="00CC2AC7" w:rsidRDefault="007C3F85" w:rsidP="007C3F85">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841 Prudential Drive Suite 1802 </w:t>
            </w:r>
          </w:p>
          <w:p w14:paraId="46CAB4A1" w14:textId="08527725" w:rsidR="00884166" w:rsidRPr="00CC2AC7" w:rsidRDefault="007C3F85" w:rsidP="007C3F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r w:rsidRPr="00CC2AC7">
              <w:rPr>
                <w:rFonts w:ascii="Aptos" w:hAnsi="Aptos"/>
                <w:sz w:val="20"/>
                <w:szCs w:val="20"/>
              </w:rPr>
              <w:t>Jacksonville, FL 32207</w:t>
            </w:r>
          </w:p>
        </w:tc>
      </w:tr>
      <w:tr w:rsidR="00884166" w:rsidRPr="0016464B" w14:paraId="637B728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6BB999C9" w14:textId="77777777" w:rsidR="00FE6E5E" w:rsidRPr="00CC2AC7" w:rsidRDefault="00FE6E5E" w:rsidP="00FE6E5E">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Matthew Zuino, CEO </w:t>
            </w:r>
          </w:p>
          <w:p w14:paraId="4A4DA1A4" w14:textId="77777777" w:rsidR="00FE6E5E" w:rsidRPr="00CC2AC7" w:rsidRDefault="00FE6E5E" w:rsidP="00FE6E5E">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Baptist Health </w:t>
            </w:r>
          </w:p>
          <w:p w14:paraId="4A386D9D" w14:textId="6CBF71D3" w:rsidR="00FE6E5E" w:rsidRPr="00CC2AC7" w:rsidRDefault="00FE6E5E" w:rsidP="00FE6E5E">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841 Prudential Drive, Suite 1601 </w:t>
            </w:r>
          </w:p>
          <w:p w14:paraId="73D23D02" w14:textId="71D20051" w:rsidR="00884166" w:rsidRPr="00CC2AC7" w:rsidRDefault="00FE6E5E" w:rsidP="00FE6E5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r w:rsidRPr="00CC2AC7">
              <w:rPr>
                <w:rFonts w:ascii="Aptos" w:hAnsi="Aptos"/>
                <w:sz w:val="20"/>
                <w:szCs w:val="20"/>
              </w:rPr>
              <w:t>Jacksonville, Florida 32207</w:t>
            </w:r>
          </w:p>
        </w:tc>
      </w:tr>
      <w:tr w:rsidR="00884166" w:rsidRPr="0016464B" w14:paraId="65A51CCD"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1B2E2438" w14:textId="5BDAA56B" w:rsidR="00FE6E5E" w:rsidRPr="00CC2AC7" w:rsidRDefault="00FE6E5E" w:rsidP="00FE6E5E">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Keith Tickell, CFO </w:t>
            </w:r>
          </w:p>
          <w:p w14:paraId="54303C9A" w14:textId="77777777" w:rsidR="00FE6E5E" w:rsidRPr="00CC2AC7" w:rsidRDefault="00FE6E5E" w:rsidP="00FE6E5E">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Baptist Health  </w:t>
            </w:r>
          </w:p>
          <w:p w14:paraId="494BA644" w14:textId="47125CB0" w:rsidR="00FE6E5E" w:rsidRPr="00CC2AC7" w:rsidRDefault="00FE6E5E" w:rsidP="00FE6E5E">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Aptos" w:hAnsi="Aptos"/>
                <w:sz w:val="20"/>
                <w:szCs w:val="20"/>
              </w:rPr>
            </w:pPr>
            <w:r w:rsidRPr="00CC2AC7">
              <w:rPr>
                <w:rFonts w:ascii="Aptos" w:hAnsi="Aptos"/>
                <w:sz w:val="20"/>
                <w:szCs w:val="20"/>
              </w:rPr>
              <w:t xml:space="preserve">841 Prudential Drive, Suite 1602 </w:t>
            </w:r>
          </w:p>
          <w:p w14:paraId="5F0533E7" w14:textId="7636541E" w:rsidR="00884166" w:rsidRPr="00CC2AC7" w:rsidRDefault="00FE6E5E" w:rsidP="00FE6E5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Aptos" w:hAnsi="Aptos"/>
                <w:sz w:val="20"/>
                <w:szCs w:val="20"/>
              </w:rPr>
            </w:pPr>
            <w:r w:rsidRPr="00CC2AC7">
              <w:rPr>
                <w:rFonts w:ascii="Aptos" w:hAnsi="Aptos"/>
                <w:sz w:val="20"/>
                <w:szCs w:val="20"/>
              </w:rPr>
              <w:t>Jacksonville, Florida 32207</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4839CBDB" w:rsidR="00884166" w:rsidRPr="0016464B" w:rsidRDefault="007A0861"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FE6E5E">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17577C9A"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FE6E5E">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34362FAB"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1"/>
            <w14:checkedState w14:val="2612" w14:font="MS Gothic"/>
            <w14:uncheckedState w14:val="2610" w14:font="MS Gothic"/>
          </w14:checkbox>
        </w:sdtPr>
        <w:sdtEndPr/>
        <w:sdtContent>
          <w:r w:rsidR="00FE6E5E">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5E2B32F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1"/>
            <w14:checkedState w14:val="2612" w14:font="MS Gothic"/>
            <w14:uncheckedState w14:val="2610" w14:font="MS Gothic"/>
          </w14:checkbox>
        </w:sdtPr>
        <w:sdtEndPr/>
        <w:sdtContent>
          <w:r w:rsidR="00FE6E5E">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 xml:space="preserve">(Please </w:t>
      </w:r>
      <w:proofErr w:type="gramStart"/>
      <w:r w:rsidRPr="0016464B">
        <w:rPr>
          <w:rFonts w:ascii="Roboto" w:hAnsi="Roboto" w:cs="Calibri"/>
        </w:rPr>
        <w:t>specify)</w:t>
      </w:r>
      <w:r w:rsidR="00010F28">
        <w:rPr>
          <w:rFonts w:ascii="Roboto" w:hAnsi="Roboto" w:cs="Calibri"/>
        </w:rPr>
        <w:t xml:space="preserve">   </w:t>
      </w:r>
      <w:proofErr w:type="gramEnd"/>
      <w:r w:rsidR="00010F28">
        <w:rPr>
          <w:rFonts w:ascii="Roboto" w:hAnsi="Roboto" w:cs="Calibri"/>
        </w:rPr>
        <w:t xml:space="preserve"> </w:t>
      </w:r>
      <w:sdt>
        <w:sdtPr>
          <w:rPr>
            <w:rFonts w:ascii="Roboto" w:hAnsi="Roboto"/>
            <w:bCs/>
          </w:rPr>
          <w:id w:val="202920149"/>
          <w:placeholder>
            <w:docPart w:val="274FA4BE163E4271BE3A62164480DBAC"/>
          </w:placeholder>
        </w:sdtPr>
        <w:sdtEndPr/>
        <w:sdtContent>
          <w:r w:rsidR="005B3435" w:rsidRPr="00CC2AC7">
            <w:rPr>
              <w:rFonts w:ascii="Aptos" w:hAnsi="Aptos"/>
              <w:bCs/>
              <w:sz w:val="20"/>
              <w:szCs w:val="20"/>
            </w:rPr>
            <w:t>Statewide Patient Safety Collaborative and Best Practice Toolkit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rPr>
          <w:rFonts w:eastAsia="Arial"/>
          <w:sz w:val="22"/>
          <w:szCs w:val="22"/>
          <w:lang w:bidi="en-US"/>
        </w:rPr>
      </w:sdtEndPr>
      <w:sdtContent>
        <w:p w14:paraId="4CB62069" w14:textId="1BFFD3BB" w:rsidR="005B3435" w:rsidRDefault="005B3435" w:rsidP="005B3435">
          <w:pPr>
            <w:pStyle w:val="paragraph"/>
            <w:spacing w:before="0" w:beforeAutospacing="0" w:after="0" w:afterAutospacing="0"/>
            <w:ind w:left="360"/>
            <w:textAlignment w:val="baseline"/>
            <w:rPr>
              <w:rFonts w:ascii="Segoe UI" w:hAnsi="Segoe UI" w:cs="Segoe UI"/>
              <w:sz w:val="18"/>
              <w:szCs w:val="18"/>
            </w:rPr>
          </w:pPr>
          <w:r>
            <w:rPr>
              <w:rStyle w:val="contentcontrolboundarysink"/>
              <w:rFonts w:ascii="Roboto" w:hAnsi="Roboto" w:cs="Segoe UI"/>
              <w:b/>
              <w:bCs/>
              <w:sz w:val="22"/>
              <w:szCs w:val="22"/>
            </w:rPr>
            <w:t>​​</w:t>
          </w:r>
          <w:r>
            <w:rPr>
              <w:rStyle w:val="normaltextrun"/>
              <w:rFonts w:ascii="Aptos" w:hAnsi="Aptos" w:cs="Segoe UI"/>
              <w:color w:val="000000"/>
              <w:sz w:val="20"/>
              <w:szCs w:val="20"/>
            </w:rPr>
            <w:t xml:space="preserve">Telemetry monitoring is a critical patient safety process, but hospitals nationwide and across Florida identified recurring risks related to overutilization, alarm fatigue, missed alarms, delays in connection or reconnection, </w:t>
          </w:r>
          <w:r>
            <w:rPr>
              <w:rStyle w:val="normaltextrun"/>
              <w:rFonts w:ascii="Aptos" w:hAnsi="Aptos" w:cs="Segoe UI"/>
              <w:color w:val="000000"/>
              <w:sz w:val="20"/>
              <w:szCs w:val="20"/>
            </w:rPr>
            <w:lastRenderedPageBreak/>
            <w:t>communication breakdowns between the patient care unit and central monitoring unit, and variability in staff competency and escalation practices. The Florida Agency for Healthcare Administration (AHCA) identified telemetry and patient monitoring among the top cited patient safety areas for Florida hospitals and among the top five reasons for immediate jeopardy citations. The Florida Hospital Association (FHA) member hospitals raised these concerns to the FHA Quality and Patient Safety Committee, which recommended a statewide workgroup to develop practical, evidence-based guidance for safer telemetry monitoring.</w:t>
          </w:r>
        </w:p>
        <w:p w14:paraId="020640ED" w14:textId="406A5D1D" w:rsidR="005B3435" w:rsidRDefault="005B3435" w:rsidP="005B3435">
          <w:pPr>
            <w:pStyle w:val="paragraph"/>
            <w:spacing w:before="0" w:beforeAutospacing="0" w:after="0" w:afterAutospacing="0"/>
            <w:ind w:left="360"/>
            <w:textAlignment w:val="baseline"/>
            <w:rPr>
              <w:rFonts w:ascii="Segoe UI" w:hAnsi="Segoe UI" w:cs="Segoe UI"/>
              <w:sz w:val="18"/>
              <w:szCs w:val="18"/>
            </w:rPr>
          </w:pPr>
          <w:r>
            <w:rPr>
              <w:rStyle w:val="contentcontrolboundarysink"/>
              <w:rFonts w:ascii="Arial" w:hAnsi="Arial" w:cs="Arial"/>
              <w:color w:val="000000"/>
              <w:sz w:val="20"/>
              <w:szCs w:val="20"/>
            </w:rPr>
            <w:t>​</w:t>
          </w:r>
        </w:p>
        <w:p w14:paraId="19BC5FC6" w14:textId="7F87BBDA" w:rsidR="005B3435" w:rsidRDefault="005B3435" w:rsidP="00CC2AC7">
          <w:pPr>
            <w:pStyle w:val="paragraph"/>
            <w:spacing w:before="0" w:beforeAutospacing="0" w:after="0" w:afterAutospacing="0"/>
            <w:ind w:left="360"/>
            <w:textAlignment w:val="baseline"/>
            <w:rPr>
              <w:rFonts w:ascii="Segoe UI" w:hAnsi="Segoe UI" w:cs="Segoe UI"/>
              <w:sz w:val="18"/>
              <w:szCs w:val="18"/>
            </w:rPr>
          </w:pPr>
          <w:r>
            <w:rPr>
              <w:rStyle w:val="contentcontrolboundarysink"/>
              <w:rFonts w:ascii="Arial" w:hAnsi="Arial" w:cs="Arial"/>
              <w:color w:val="000000"/>
              <w:sz w:val="20"/>
              <w:szCs w:val="20"/>
            </w:rPr>
            <w:t>​</w:t>
          </w:r>
          <w:r>
            <w:rPr>
              <w:rStyle w:val="normaltextrun"/>
              <w:rFonts w:ascii="Aptos" w:hAnsi="Aptos" w:cs="Segoe UI"/>
              <w:color w:val="000000"/>
              <w:sz w:val="20"/>
              <w:szCs w:val="20"/>
            </w:rPr>
            <w:t>In response, the FHA Telemetry Work Group, chaired by Baptist Health leaders Ellen Light and Amanda Brown, with participation from other Florida health systems and with AHCA collaboration, developed and released the 2025 Telemetry Monitoring Toolkit: Best Practices for Acute Care Hospitals. The toolkit translates American Heart Association practice standards and participating hospital examples into actionable guidance, including sample order sets, initiation and handoff workflows, monitoring and escalation processes, communication guidelines, transport practices, discontinuation processes, role-specific education pathways, competency validation, infection prevention considerations, technology considerations, and continuous quality monitoring measures. The toolkit was disseminated by FHA to hospitals across the state, and the Telemetry workgroup held FHA webinars to review this shared statewide safety resource.  </w:t>
          </w:r>
          <w:r>
            <w:rPr>
              <w:rStyle w:val="normaltextrun"/>
              <w:rFonts w:ascii="Aptos" w:hAnsi="Aptos" w:cs="Segoe UI"/>
              <w:sz w:val="20"/>
              <w:szCs w:val="20"/>
            </w:rPr>
            <w:t>The FHA Telemetry Monitoring Toolkit was intentionally designed as a living document, with the statewide workgroup reconvening regularly to review emerging risks, incorporate new best practices and lessons learned, refine content as needed, and identify additional educational and collaborative opportunities to further advance telemetry safety across Florida hospitals.</w:t>
          </w:r>
        </w:p>
        <w:p w14:paraId="12863A5B" w14:textId="6AB2FE20" w:rsidR="00884166" w:rsidRPr="0098406E" w:rsidRDefault="007A0861" w:rsidP="0016464B">
          <w:pPr>
            <w:ind w:left="720"/>
            <w:rPr>
              <w:rFonts w:ascii="Roboto" w:hAnsi="Roboto" w:cs="Calibri"/>
              <w:b/>
              <w:bCs/>
            </w:rPr>
          </w:pP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dtPr>
      <w:sdtEndPr>
        <w:rPr>
          <w:rFonts w:eastAsia="Arial"/>
          <w:sz w:val="22"/>
          <w:szCs w:val="22"/>
          <w:lang w:bidi="en-US"/>
        </w:rPr>
      </w:sdtEndPr>
      <w:sdtContent>
        <w:p w14:paraId="3F216A3A" w14:textId="16CFF7D6" w:rsidR="000F1C1C" w:rsidRDefault="000F1C1C" w:rsidP="000F1C1C">
          <w:pPr>
            <w:pStyle w:val="paragraph"/>
            <w:spacing w:before="0" w:beforeAutospacing="0" w:after="0" w:afterAutospacing="0"/>
            <w:ind w:left="720"/>
            <w:textAlignment w:val="baseline"/>
            <w:rPr>
              <w:rFonts w:ascii="Segoe UI" w:hAnsi="Segoe UI" w:cs="Segoe UI"/>
              <w:sz w:val="18"/>
              <w:szCs w:val="18"/>
            </w:rPr>
          </w:pPr>
          <w:r>
            <w:rPr>
              <w:rStyle w:val="contentcontrolboundarysink"/>
              <w:rFonts w:ascii="Roboto" w:hAnsi="Roboto" w:cs="Segoe UI"/>
              <w:b/>
              <w:bCs/>
              <w:sz w:val="22"/>
              <w:szCs w:val="22"/>
            </w:rPr>
            <w:t>​​</w:t>
          </w:r>
          <w:r>
            <w:rPr>
              <w:rStyle w:val="normaltextrun"/>
              <w:rFonts w:ascii="Aptos" w:hAnsi="Aptos" w:cs="Segoe UI"/>
              <w:color w:val="000000"/>
              <w:sz w:val="20"/>
              <w:szCs w:val="20"/>
            </w:rPr>
            <w:t>Indicators of success include the completion and statewide release of a comprehensive toolkit that provides practical, evidence-based resources for hospitals to standardize telemetry monitoring practices. The toolkit includes recommended practices and implementation tools spanning the full telemetry lifecycle, including initiation and utilization, monitoring, evaluation of ongoing need and discontinuation, technology, education and competencies, infection prevention and control, and continuous quality monitoring. It also outlines measurable performance indicators that organizations can use to assess improvement, including telemetry utilization, order-to-implementation time, alarm response and notification timeliness, CMU documentation compliance, telemetry order/placement discrepancies, patient near-miss and harm events, serious safety events, staff competency and task compliance, and documentation of rhythm strip interpretation and escalation.</w:t>
          </w:r>
        </w:p>
        <w:p w14:paraId="7FF50F74" w14:textId="436385B0" w:rsidR="000F1C1C" w:rsidRDefault="000F1C1C" w:rsidP="000F1C1C">
          <w:pPr>
            <w:pStyle w:val="paragraph"/>
            <w:spacing w:before="0" w:beforeAutospacing="0" w:after="0" w:afterAutospacing="0"/>
            <w:ind w:left="720"/>
            <w:textAlignment w:val="baseline"/>
            <w:rPr>
              <w:rFonts w:ascii="Segoe UI" w:hAnsi="Segoe UI" w:cs="Segoe UI"/>
              <w:sz w:val="18"/>
              <w:szCs w:val="18"/>
            </w:rPr>
          </w:pPr>
          <w:r>
            <w:rPr>
              <w:rStyle w:val="contentcontrolboundarysink"/>
              <w:rFonts w:ascii="Arial" w:hAnsi="Arial" w:cs="Arial"/>
              <w:color w:val="000000"/>
              <w:sz w:val="20"/>
              <w:szCs w:val="20"/>
            </w:rPr>
            <w:t>​</w:t>
          </w:r>
        </w:p>
        <w:p w14:paraId="0BF4C51A" w14:textId="11262943" w:rsidR="000F1C1C" w:rsidRDefault="000F1C1C" w:rsidP="000F1C1C">
          <w:pPr>
            <w:pStyle w:val="paragraph"/>
            <w:spacing w:before="0" w:beforeAutospacing="0" w:after="0" w:afterAutospacing="0"/>
            <w:ind w:left="720"/>
            <w:textAlignment w:val="baseline"/>
            <w:rPr>
              <w:rFonts w:ascii="Segoe UI" w:hAnsi="Segoe UI" w:cs="Segoe UI"/>
              <w:sz w:val="18"/>
              <w:szCs w:val="18"/>
            </w:rPr>
          </w:pPr>
          <w:r>
            <w:rPr>
              <w:rStyle w:val="contentcontrolboundarysink"/>
              <w:rFonts w:ascii="Arial" w:hAnsi="Arial" w:cs="Arial"/>
              <w:color w:val="000000"/>
              <w:sz w:val="20"/>
              <w:szCs w:val="20"/>
            </w:rPr>
            <w:t>​</w:t>
          </w:r>
          <w:r>
            <w:rPr>
              <w:rStyle w:val="normaltextrun"/>
              <w:rFonts w:ascii="Aptos" w:hAnsi="Aptos" w:cs="Segoe UI"/>
              <w:color w:val="000000"/>
              <w:sz w:val="20"/>
              <w:szCs w:val="20"/>
            </w:rPr>
            <w:t>For Baptist Health, this work was embedded into ongoing patient safety, operational, and Enterprise Risk Management oversight. Telemetry utilization was adopted as a system KPI and has exceeded target, resulting in a 25% reduction in utilization while maintaining patient safety. Telemetry-related safety events, including near misses, are reviewed quarterly by Patient Safety and Professional Practice leadership, with identified trends and opportunities addressed through focused improvement efforts. Regular reporting continues through established patient safety and quality governance structures. Internal monitoring demonstrated a reduction in telemetry-related safety events, supporting the effectiveness of standardized practices, enhanced oversight, and strengthened competency processes.</w:t>
          </w:r>
        </w:p>
        <w:p w14:paraId="64D69329" w14:textId="483A2B1F" w:rsidR="00884166" w:rsidRPr="00FF2186" w:rsidRDefault="007A0861"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16D86C8E"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3C8CB5E6"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69333B3"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sdtContent>
        <w:p w14:paraId="2DF69ABA" w14:textId="496FD8A4" w:rsidR="00884166" w:rsidRPr="0098406E" w:rsidRDefault="000F1C1C"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Pr>
              <w:rStyle w:val="contentcontrolboundarysink"/>
              <w:rFonts w:ascii="Roboto" w:hAnsi="Roboto"/>
              <w:b/>
              <w:bCs/>
              <w:color w:val="000000"/>
              <w:shd w:val="clear" w:color="auto" w:fill="FFFFFF"/>
            </w:rPr>
            <w:t>​</w:t>
          </w:r>
          <w:r>
            <w:rPr>
              <w:rStyle w:val="contentcontrolboundarysink"/>
              <w:rFonts w:ascii="Roboto" w:hAnsi="Roboto" w:cs="Segoe UI"/>
              <w:b/>
              <w:bCs/>
              <w:color w:val="000000"/>
              <w:shd w:val="clear" w:color="auto" w:fill="FFFFFF"/>
            </w:rPr>
            <w:t>​</w:t>
          </w:r>
          <w:r>
            <w:rPr>
              <w:rStyle w:val="normaltextrun"/>
              <w:rFonts w:ascii="Aptos" w:hAnsi="Aptos" w:cs="Segoe UI"/>
              <w:color w:val="000000"/>
              <w:sz w:val="20"/>
              <w:szCs w:val="20"/>
              <w:shd w:val="clear" w:color="auto" w:fill="FFFFFF"/>
            </w:rPr>
            <w:t xml:space="preserve">This project strengthens patient safety and reduces risk by converting a known high-risk clinical process into a more reliable, standardized, and monitored system of care. The toolkit supports clear criteria for appropriate telemetry use, better handoff and closed-loop communication between clinical staff and monitoring teams, timely escalation of clinical and technical alarms, safer transport and discontinuation practices, role-specific education and competency validation, and continuous quality monitoring. These improvements help </w:t>
          </w:r>
          <w:r>
            <w:rPr>
              <w:rStyle w:val="normaltextrun"/>
              <w:rFonts w:ascii="Aptos" w:hAnsi="Aptos" w:cs="Segoe UI"/>
              <w:color w:val="000000"/>
              <w:sz w:val="20"/>
              <w:szCs w:val="20"/>
              <w:shd w:val="clear" w:color="auto" w:fill="FFFFFF"/>
            </w:rPr>
            <w:lastRenderedPageBreak/>
            <w:t>reduce the likelihood of missed alarms, delayed response, monitoring gaps, avoidable adverse events, survey findings, and associated liability exposure while creating a sustainable structure for ongoing learning and oversight.</w:t>
          </w:r>
          <w:r>
            <w:rPr>
              <w:rStyle w:val="contentcontrolboundarysink"/>
              <w:rFonts w:ascii="Roboto" w:hAnsi="Roboto" w:cs="Segoe UI"/>
              <w:b/>
              <w:bCs/>
              <w:color w:val="000000"/>
              <w:shd w:val="clear" w:color="auto" w:fill="FFFFFF"/>
            </w:rPr>
            <w:t>​</w:t>
          </w: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68F468A4"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0F1C1C">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77777777"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7BA46116"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r w:rsidR="000F1C1C">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477E3816" w:rsidR="00ED28BB" w:rsidRPr="000242C1" w:rsidRDefault="000242C1" w:rsidP="0016464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EndPr/>
        <w:sdtContent>
          <w:r w:rsidR="0056537A">
            <w:rPr>
              <w:rStyle w:val="contentcontrolboundarysink"/>
              <w:rFonts w:ascii="Roboto" w:hAnsi="Roboto" w:cs="Segoe UI"/>
              <w:b/>
              <w:bCs/>
            </w:rPr>
            <w:t>​​</w:t>
          </w:r>
          <w:r w:rsidR="0056537A">
            <w:rPr>
              <w:rStyle w:val="normaltextrun"/>
              <w:rFonts w:ascii="Aptos" w:hAnsi="Aptos" w:cs="Segoe UI"/>
              <w:sz w:val="20"/>
              <w:szCs w:val="20"/>
            </w:rPr>
            <w:t>The project is particularly reflective of AEIX’s vision that collective experience and unique expertise provide the leading pathway for managing risk and improving safety in healthcare. Competing health systems, academic medical centers, community hospitals, patient safety leaders, risk professionals, and regulatory partners came together to openly share challenges, lessons learned, best practices, and successful strategies for mitigating telemetry-related risk. The result was far greater than a toolkit</w:t>
          </w:r>
          <w:r w:rsidR="0056537A">
            <w:rPr>
              <w:rStyle w:val="normaltextrun"/>
              <w:rFonts w:ascii="Aptos" w:hAnsi="Aptos" w:cs="Segoe UI"/>
              <w:sz w:val="20"/>
              <w:szCs w:val="20"/>
            </w:rPr>
            <w:t>-</w:t>
          </w:r>
          <w:r w:rsidR="0056537A">
            <w:rPr>
              <w:rStyle w:val="normaltextrun"/>
              <w:rFonts w:ascii="Aptos" w:hAnsi="Aptos" w:cs="Segoe UI"/>
              <w:sz w:val="20"/>
              <w:szCs w:val="20"/>
            </w:rPr>
            <w:t xml:space="preserve">it created a statewide learning collaborative that accelerated improvement efforts across organizations and enabled hospitals to benefit from one another’s experiences rather than working in isolation. </w:t>
          </w:r>
          <w:r w:rsidR="0056537A">
            <w:rPr>
              <w:rStyle w:val="contentcontrolboundarysink"/>
              <w:sz w:val="20"/>
              <w:szCs w:val="20"/>
            </w:rPr>
            <w:t>​</w:t>
          </w:r>
          <w:r w:rsidR="0056537A">
            <w:rPr>
              <w:rStyle w:val="normaltextrun"/>
              <w:rFonts w:ascii="Aptos" w:hAnsi="Aptos" w:cs="Segoe UI"/>
              <w:sz w:val="20"/>
              <w:szCs w:val="20"/>
            </w:rPr>
            <w:t>Equally important, this collaboration demonstrated the power of healthcare organizations working together to proactively address common patient safety concerns. The success of the Telemetry Monitoring Workgroup has helped spark interest in additional statewide collaboratives focused on other patient safety and risk reduction priorities, creating a model for shared learning and collective problem-solving that extends beyond telemetry monitoring. By fostering ongoing collaboration, education, and dissemination of best practices, the project advances a culture of continuous improvement and innovation that benefits patients, caregivers, healthcare organizations, and the broader healthcare community.</w:t>
          </w:r>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dtPr>
      <w:sdtEndPr/>
      <w:sdtContent>
        <w:p w14:paraId="79D78D7F" w14:textId="45CBD19D" w:rsidR="00884166" w:rsidRPr="0098406E" w:rsidRDefault="001A3E66" w:rsidP="0016464B">
          <w:pPr>
            <w:ind w:left="720"/>
            <w:rPr>
              <w:rFonts w:ascii="Roboto" w:hAnsi="Roboto" w:cs="Calibri"/>
              <w:b/>
              <w:bCs/>
            </w:rPr>
          </w:pPr>
          <w:r>
            <w:rPr>
              <w:rFonts w:ascii="Roboto" w:hAnsi="Roboto" w:cs="Calibri"/>
              <w:b/>
              <w:bCs/>
            </w:rPr>
            <w:t>See attached toolkit</w:t>
          </w:r>
          <w:r w:rsidR="00604115">
            <w:rPr>
              <w:rFonts w:ascii="Roboto" w:hAnsi="Roboto" w:cs="Calibri"/>
              <w:b/>
              <w:bCs/>
            </w:rPr>
            <w:t>; Review and Update of toolkit and education refresh</w:t>
          </w:r>
          <w:r w:rsidR="004E6E64">
            <w:rPr>
              <w:rFonts w:ascii="Roboto" w:hAnsi="Roboto" w:cs="Calibri"/>
              <w:b/>
              <w:bCs/>
            </w:rPr>
            <w:t xml:space="preserve"> scheduled September 2026</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w:lastRenderedPageBreak/>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3"/>
      <w:footerReference w:type="even" r:id="rId14"/>
      <w:footerReference w:type="default" r:id="rId15"/>
      <w:headerReference w:type="first" r:id="rId16"/>
      <w:footerReference w:type="first" r:id="rId17"/>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5D6D" w14:textId="77777777" w:rsidR="007A0861" w:rsidRDefault="007A0861" w:rsidP="000E1106">
      <w:r>
        <w:separator/>
      </w:r>
    </w:p>
  </w:endnote>
  <w:endnote w:type="continuationSeparator" w:id="0">
    <w:p w14:paraId="7CDF4FC9" w14:textId="77777777" w:rsidR="007A0861" w:rsidRDefault="007A0861"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CA9D" w14:textId="77777777" w:rsidR="007A0861" w:rsidRDefault="007A0861" w:rsidP="000E1106">
      <w:r>
        <w:separator/>
      </w:r>
    </w:p>
  </w:footnote>
  <w:footnote w:type="continuationSeparator" w:id="0">
    <w:p w14:paraId="2C99BADA" w14:textId="77777777" w:rsidR="007A0861" w:rsidRDefault="007A0861"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1C1C"/>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56333"/>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3E66"/>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00F"/>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E6E64"/>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6537A"/>
    <w:rsid w:val="00572852"/>
    <w:rsid w:val="005819B8"/>
    <w:rsid w:val="00585C20"/>
    <w:rsid w:val="00586613"/>
    <w:rsid w:val="0058700A"/>
    <w:rsid w:val="00587E7C"/>
    <w:rsid w:val="00591BD7"/>
    <w:rsid w:val="0059767D"/>
    <w:rsid w:val="005A2455"/>
    <w:rsid w:val="005A75C4"/>
    <w:rsid w:val="005B0283"/>
    <w:rsid w:val="005B3435"/>
    <w:rsid w:val="005B66E5"/>
    <w:rsid w:val="005D51BB"/>
    <w:rsid w:val="005E1B43"/>
    <w:rsid w:val="005E6737"/>
    <w:rsid w:val="005F7EC2"/>
    <w:rsid w:val="006002F3"/>
    <w:rsid w:val="006031FE"/>
    <w:rsid w:val="00604115"/>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0861"/>
    <w:rsid w:val="007A509B"/>
    <w:rsid w:val="007A5A63"/>
    <w:rsid w:val="007A74B7"/>
    <w:rsid w:val="007B69F8"/>
    <w:rsid w:val="007B7B73"/>
    <w:rsid w:val="007C3F85"/>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0722B"/>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173F"/>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9245A"/>
    <w:rsid w:val="00A94FEB"/>
    <w:rsid w:val="00AA098B"/>
    <w:rsid w:val="00AA3450"/>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0C1C"/>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477"/>
    <w:rsid w:val="00CB6D03"/>
    <w:rsid w:val="00CB7CB2"/>
    <w:rsid w:val="00CC01FD"/>
    <w:rsid w:val="00CC1923"/>
    <w:rsid w:val="00CC2AC7"/>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F1E18"/>
    <w:rsid w:val="00E0184A"/>
    <w:rsid w:val="00E0603D"/>
    <w:rsid w:val="00E14976"/>
    <w:rsid w:val="00E17729"/>
    <w:rsid w:val="00E2122A"/>
    <w:rsid w:val="00E2593E"/>
    <w:rsid w:val="00E26669"/>
    <w:rsid w:val="00E348A7"/>
    <w:rsid w:val="00E40114"/>
    <w:rsid w:val="00E44D4A"/>
    <w:rsid w:val="00E45266"/>
    <w:rsid w:val="00E45743"/>
    <w:rsid w:val="00E53BE9"/>
    <w:rsid w:val="00E541F1"/>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E6E5E"/>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customStyle="1" w:styleId="paragraph">
    <w:name w:val="paragraph"/>
    <w:basedOn w:val="Normal"/>
    <w:rsid w:val="005B343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ontentcontrolboundarysink">
    <w:name w:val="contentcontrolboundarysink"/>
    <w:basedOn w:val="DefaultParagraphFont"/>
    <w:rsid w:val="005B3435"/>
  </w:style>
  <w:style w:type="character" w:customStyle="1" w:styleId="normaltextrun">
    <w:name w:val="normaltextrun"/>
    <w:basedOn w:val="DefaultParagraphFont"/>
    <w:rsid w:val="005B3435"/>
  </w:style>
  <w:style w:type="character" w:customStyle="1" w:styleId="eop">
    <w:name w:val="eop"/>
    <w:basedOn w:val="DefaultParagraphFont"/>
    <w:rsid w:val="005B3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anda.brown@bmcjax.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len.light@bmcjax.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A5A06"/>
    <w:rsid w:val="00353F07"/>
    <w:rsid w:val="0048200F"/>
    <w:rsid w:val="0067009D"/>
    <w:rsid w:val="00680261"/>
    <w:rsid w:val="00742FFC"/>
    <w:rsid w:val="007B0C47"/>
    <w:rsid w:val="008B16C2"/>
    <w:rsid w:val="00910A2D"/>
    <w:rsid w:val="00AC4149"/>
    <w:rsid w:val="00B030F4"/>
    <w:rsid w:val="00C03417"/>
    <w:rsid w:val="00C45D87"/>
    <w:rsid w:val="00D5025C"/>
    <w:rsid w:val="00E06B1F"/>
    <w:rsid w:val="00E541F1"/>
    <w:rsid w:val="00E60629"/>
    <w:rsid w:val="00FC2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2156</Words>
  <Characters>12488</Characters>
  <Application>Microsoft Office Word</Application>
  <DocSecurity>0</DocSecurity>
  <Lines>499</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Kathryn</dc:creator>
  <cp:lastModifiedBy>Ellen Light</cp:lastModifiedBy>
  <cp:revision>2</cp:revision>
  <dcterms:created xsi:type="dcterms:W3CDTF">2026-07-15T14:58:00Z</dcterms:created>
  <dcterms:modified xsi:type="dcterms:W3CDTF">2026-07-15T14:58:00Z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