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0"/>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11"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7E1262B8" w:rsidR="002B2702" w:rsidRPr="00785726" w:rsidRDefault="00C9143B" w:rsidP="002B2702">
                <w:pPr>
                  <w:rPr>
                    <w:rFonts w:ascii="Roboto" w:eastAsia="Aptos" w:hAnsi="Roboto" w:cs="Aptos"/>
                    <w:kern w:val="0"/>
                  </w:rPr>
                </w:pPr>
                <w:r>
                  <w:rPr>
                    <w:rFonts w:ascii="Roboto" w:eastAsia="Aptos" w:hAnsi="Roboto" w:cs="Aptos"/>
                    <w:kern w:val="0"/>
                  </w:rPr>
                  <w:t>Jacob Nole</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3E3B8B53" w:rsidR="002B2702" w:rsidRPr="00785726" w:rsidRDefault="00C9143B" w:rsidP="002B2702">
                <w:pPr>
                  <w:rPr>
                    <w:rFonts w:ascii="Roboto" w:eastAsia="Aptos" w:hAnsi="Roboto" w:cs="Aptos"/>
                    <w:kern w:val="0"/>
                  </w:rPr>
                </w:pPr>
                <w:r>
                  <w:rPr>
                    <w:rFonts w:ascii="Roboto" w:eastAsia="Aptos" w:hAnsi="Roboto" w:cs="Aptos"/>
                    <w:kern w:val="0"/>
                  </w:rPr>
                  <w:t>6/10/2025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2117DCAD" w:rsidR="002B2702" w:rsidRPr="00785726" w:rsidRDefault="00C9143B" w:rsidP="002B2702">
                <w:pPr>
                  <w:rPr>
                    <w:rFonts w:ascii="Roboto" w:eastAsia="Aptos" w:hAnsi="Roboto" w:cs="Aptos"/>
                    <w:kern w:val="0"/>
                  </w:rPr>
                </w:pPr>
                <w:r>
                  <w:rPr>
                    <w:rFonts w:ascii="Roboto" w:eastAsia="Aptos" w:hAnsi="Roboto" w:cs="Aptos"/>
                    <w:kern w:val="0"/>
                  </w:rPr>
                  <w:t>jnole@valleychildrens.org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4AE5EE08" w:rsidR="002B2702" w:rsidRPr="00785726" w:rsidRDefault="000F6498" w:rsidP="002B2702">
                <w:pPr>
                  <w:rPr>
                    <w:rFonts w:ascii="Roboto" w:eastAsia="Aptos" w:hAnsi="Roboto" w:cs="Aptos"/>
                    <w:kern w:val="0"/>
                  </w:rPr>
                </w:pPr>
                <w:r>
                  <w:rPr>
                    <w:rFonts w:ascii="Roboto" w:eastAsia="Aptos" w:hAnsi="Roboto" w:cs="Aptos"/>
                    <w:kern w:val="0"/>
                  </w:rPr>
                  <w:t>Simulation Coordinator</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1AF9C768" w:rsidR="002B2702" w:rsidRPr="00785726" w:rsidRDefault="00A7449F" w:rsidP="002B2702">
                <w:pPr>
                  <w:rPr>
                    <w:rFonts w:ascii="Roboto" w:eastAsia="Aptos" w:hAnsi="Roboto" w:cs="Aptos"/>
                    <w:kern w:val="0"/>
                  </w:rPr>
                </w:pPr>
                <w:r>
                  <w:rPr>
                    <w:rFonts w:ascii="Roboto" w:eastAsia="Aptos" w:hAnsi="Roboto" w:cs="Aptos"/>
                    <w:kern w:val="0"/>
                  </w:rPr>
                  <w:t>Nathan Powell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55A0B297" w:rsidR="002B2702" w:rsidRPr="00785726" w:rsidRDefault="00A7449F" w:rsidP="002B2702">
                <w:pPr>
                  <w:rPr>
                    <w:rFonts w:ascii="Roboto" w:eastAsia="Aptos" w:hAnsi="Roboto" w:cs="Aptos"/>
                    <w:kern w:val="0"/>
                  </w:rPr>
                </w:pPr>
                <w:r>
                  <w:rPr>
                    <w:rFonts w:ascii="Roboto" w:eastAsia="Aptos" w:hAnsi="Roboto" w:cs="Aptos"/>
                    <w:kern w:val="0"/>
                  </w:rPr>
                  <w:t>Raed Khoury</w:t>
                </w:r>
              </w:p>
            </w:tc>
          </w:sdtContent>
        </w:sdt>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7C8490FE" w:rsidR="002B2702" w:rsidRPr="00785726" w:rsidRDefault="00A7449F" w:rsidP="002B2702">
                <w:pPr>
                  <w:rPr>
                    <w:rFonts w:ascii="Roboto" w:eastAsia="Aptos" w:hAnsi="Roboto" w:cs="Aptos"/>
                    <w:kern w:val="0"/>
                  </w:rPr>
                </w:pPr>
                <w:r w:rsidRPr="00A7449F">
                  <w:rPr>
                    <w:rFonts w:ascii="Roboto" w:eastAsia="Aptos" w:hAnsi="Roboto" w:cs="Aptos"/>
                    <w:kern w:val="0"/>
                  </w:rPr>
                  <w:t>NPowell1@valleychildrens.org</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4A0249EE" w:rsidR="002B2702" w:rsidRPr="00785726" w:rsidRDefault="000E5EF9" w:rsidP="002B2702">
                <w:pPr>
                  <w:rPr>
                    <w:rFonts w:ascii="Roboto" w:eastAsia="Aptos" w:hAnsi="Roboto" w:cs="Aptos"/>
                    <w:kern w:val="0"/>
                  </w:rPr>
                </w:pPr>
                <w:r>
                  <w:rPr>
                    <w:rFonts w:ascii="Roboto" w:eastAsia="Aptos" w:hAnsi="Roboto" w:cs="Aptos"/>
                    <w:kern w:val="0"/>
                  </w:rPr>
                  <w:t>Valley Children’s Hospital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44B62A8A" w14:textId="77777777" w:rsidR="000E5EF9" w:rsidRDefault="000E5EF9" w:rsidP="002B2702">
                <w:pPr>
                  <w:rPr>
                    <w:rFonts w:ascii="Roboto" w:eastAsia="Aptos" w:hAnsi="Roboto" w:cs="Aptos"/>
                    <w:kern w:val="0"/>
                  </w:rPr>
                </w:pPr>
                <w:r>
                  <w:rPr>
                    <w:rFonts w:ascii="Roboto" w:eastAsia="Aptos" w:hAnsi="Roboto" w:cs="Aptos"/>
                    <w:kern w:val="0"/>
                  </w:rPr>
                  <w:t>9300 Valley Children’s Pl</w:t>
                </w:r>
              </w:p>
              <w:p w14:paraId="7EBF1425" w14:textId="0FF0ADD6" w:rsidR="002B2702" w:rsidRPr="00785726" w:rsidRDefault="000E5EF9" w:rsidP="002B2702">
                <w:pPr>
                  <w:rPr>
                    <w:rFonts w:ascii="Roboto" w:eastAsia="Aptos" w:hAnsi="Roboto" w:cs="Aptos"/>
                    <w:kern w:val="0"/>
                  </w:rPr>
                </w:pPr>
                <w:r>
                  <w:rPr>
                    <w:rFonts w:ascii="Roboto" w:eastAsia="Aptos" w:hAnsi="Roboto" w:cs="Aptos"/>
                    <w:kern w:val="0"/>
                  </w:rPr>
                  <w:t>Madera, Ca 93636</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rPr>
            <w:id w:val="-1912308651"/>
            <w:placeholder>
              <w:docPart w:val="934B965DB0B3455AB7A29AC436C26F93"/>
            </w:placeholder>
          </w:sdtPr>
          <w:sdtEndPr/>
          <w:sdtContent>
            <w:tc>
              <w:tcPr>
                <w:tcW w:w="3508" w:type="dxa"/>
                <w:gridSpan w:val="4"/>
                <w:tcBorders>
                  <w:right w:val="nil"/>
                </w:tcBorders>
              </w:tcPr>
              <w:p w14:paraId="5C103A75" w14:textId="25410C51" w:rsidR="002B2702" w:rsidRPr="00785726" w:rsidRDefault="000E5EF9" w:rsidP="002B2702">
                <w:pPr>
                  <w:rPr>
                    <w:rFonts w:ascii="Roboto" w:eastAsia="Aptos" w:hAnsi="Roboto" w:cs="Aptos"/>
                    <w:kern w:val="0"/>
                  </w:rPr>
                </w:pPr>
                <w:r>
                  <w:rPr>
                    <w:rFonts w:ascii="Roboto" w:eastAsia="Aptos" w:hAnsi="Roboto" w:cs="Aptos"/>
                    <w:kern w:val="0"/>
                  </w:rPr>
                  <w:t>17</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492AF9B5" w:rsidR="002B2702" w:rsidRPr="00785726" w:rsidRDefault="000E5EF9" w:rsidP="002B2702">
                <w:pPr>
                  <w:rPr>
                    <w:rFonts w:ascii="Roboto" w:eastAsia="Aptos" w:hAnsi="Roboto" w:cs="Aptos"/>
                    <w:kern w:val="0"/>
                  </w:rPr>
                </w:pPr>
                <w:r>
                  <w:rPr>
                    <w:rFonts w:ascii="Roboto" w:eastAsia="Aptos" w:hAnsi="Roboto" w:cs="Aptos"/>
                    <w:kern w:val="0"/>
                  </w:rPr>
                  <w:t>0</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tc>
          <w:tcPr>
            <w:tcW w:w="3508" w:type="dxa"/>
            <w:gridSpan w:val="4"/>
          </w:tcPr>
          <w:sdt>
            <w:sdtPr>
              <w:rPr>
                <w:rFonts w:ascii="Roboto" w:eastAsia="Aptos" w:hAnsi="Roboto" w:cs="Aptos"/>
                <w:kern w:val="0"/>
              </w:rPr>
              <w:id w:val="-1443602620"/>
              <w:placeholder>
                <w:docPart w:val="934B965DB0B3455AB7A29AC436C26F93"/>
              </w:placeholder>
            </w:sdtPr>
            <w:sdtEndPr/>
            <w:sdtContent>
              <w:p w14:paraId="4C12E09C" w14:textId="705D5080" w:rsidR="0001541C" w:rsidRPr="0001541C" w:rsidRDefault="0001541C" w:rsidP="0001541C">
                <w:pPr>
                  <w:rPr>
                    <w:rFonts w:ascii="Roboto" w:eastAsia="Aptos" w:hAnsi="Roboto" w:cs="Aptos"/>
                    <w:kern w:val="0"/>
                  </w:rPr>
                </w:pPr>
                <w:r>
                  <w:t xml:space="preserve"> </w:t>
                </w:r>
                <w:r w:rsidRPr="0001541C">
                  <w:rPr>
                    <w:rFonts w:ascii="Roboto" w:eastAsia="Aptos" w:hAnsi="Roboto" w:cs="Aptos"/>
                    <w:kern w:val="0"/>
                  </w:rPr>
                  <w:t>Healthcare Simulation Essentials:</w:t>
                </w:r>
              </w:p>
              <w:p w14:paraId="7335B359" w14:textId="50588E70" w:rsidR="002B2702" w:rsidRPr="00785726" w:rsidRDefault="0001541C" w:rsidP="0001541C">
                <w:pPr>
                  <w:rPr>
                    <w:rFonts w:ascii="Roboto" w:eastAsia="Aptos" w:hAnsi="Roboto" w:cs="Aptos"/>
                    <w:kern w:val="0"/>
                  </w:rPr>
                </w:pPr>
                <w:r w:rsidRPr="0001541C">
                  <w:rPr>
                    <w:rFonts w:ascii="Roboto" w:eastAsia="Aptos" w:hAnsi="Roboto" w:cs="Aptos"/>
                    <w:kern w:val="0"/>
                  </w:rPr>
                  <w:t xml:space="preserve">Design and Debriefing </w:t>
                </w:r>
              </w:p>
            </w:sdtContent>
          </w:sdt>
        </w:tc>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19705529" w:rsidR="002B2702" w:rsidRPr="00785726" w:rsidRDefault="000E5EF9" w:rsidP="002B2702">
                <w:pPr>
                  <w:rPr>
                    <w:rFonts w:ascii="Roboto" w:eastAsia="Aptos" w:hAnsi="Roboto" w:cs="Aptos"/>
                    <w:kern w:val="0"/>
                  </w:rPr>
                </w:pPr>
                <w:r>
                  <w:rPr>
                    <w:rFonts w:ascii="Roboto" w:eastAsia="Aptos" w:hAnsi="Roboto" w:cs="Aptos"/>
                    <w:kern w:val="0"/>
                  </w:rPr>
                  <w:t>$5995 Tuition</w:t>
                </w:r>
                <w:r w:rsidR="00CD55E0">
                  <w:rPr>
                    <w:rFonts w:ascii="Roboto" w:eastAsia="Aptos" w:hAnsi="Roboto" w:cs="Aptos"/>
                    <w:kern w:val="0"/>
                  </w:rPr>
                  <w:t>.</w:t>
                </w:r>
                <w:r>
                  <w:rPr>
                    <w:rFonts w:ascii="Roboto" w:eastAsia="Aptos" w:hAnsi="Roboto" w:cs="Aptos"/>
                    <w:kern w:val="0"/>
                  </w:rPr>
                  <w:t xml:space="preserve"> </w:t>
                </w:r>
                <w:r w:rsidR="00CD55E0">
                  <w:rPr>
                    <w:rFonts w:ascii="Roboto" w:eastAsia="Aptos" w:hAnsi="Roboto" w:cs="Aptos"/>
                    <w:kern w:val="0"/>
                  </w:rPr>
                  <w:t>Flight estimate $500-$600, and $1000-$2000</w:t>
                </w:r>
                <w:r w:rsidR="00AD2076">
                  <w:rPr>
                    <w:rFonts w:ascii="Roboto" w:eastAsia="Aptos" w:hAnsi="Roboto" w:cs="Aptos"/>
                    <w:kern w:val="0"/>
                  </w:rPr>
                  <w:t xml:space="preserve"> hotel </w:t>
                </w:r>
                <w:r>
                  <w:rPr>
                    <w:rFonts w:ascii="Roboto" w:eastAsia="Aptos" w:hAnsi="Roboto" w:cs="Aptos"/>
                    <w:kern w:val="0"/>
                  </w:rPr>
                  <w:t>expen</w:t>
                </w:r>
                <w:r w:rsidR="00CD55E0">
                  <w:rPr>
                    <w:rFonts w:ascii="Roboto" w:eastAsia="Aptos" w:hAnsi="Roboto" w:cs="Aptos"/>
                    <w:kern w:val="0"/>
                  </w:rPr>
                  <w:t>ses</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71084721" w:rsidR="002B2702" w:rsidRPr="00785726" w:rsidRDefault="00A7449F" w:rsidP="002B2702">
                <w:pPr>
                  <w:rPr>
                    <w:rFonts w:ascii="Roboto" w:eastAsia="Aptos" w:hAnsi="Roboto" w:cs="Aptos"/>
                    <w:kern w:val="0"/>
                  </w:rPr>
                </w:pPr>
                <w:r>
                  <w:rPr>
                    <w:rFonts w:ascii="Roboto" w:eastAsia="Aptos" w:hAnsi="Roboto" w:cs="Aptos"/>
                    <w:kern w:val="0"/>
                  </w:rPr>
                  <w:t>3/2/26-3/6/26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2AA1059D"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00AD2076">
                  <w:rPr>
                    <w:rFonts w:ascii="Roboto" w:eastAsia="Aptos" w:hAnsi="Roboto" w:cs="Aptos"/>
                    <w:kern w:val="0"/>
                  </w:rPr>
                  <w:t>Boston</w:t>
                </w:r>
              </w:sdtContent>
            </w:sdt>
          </w:p>
          <w:p w14:paraId="6CF8E8EE" w14:textId="0FCFC0D4"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00AD2076">
                  <w:rPr>
                    <w:rFonts w:ascii="Roboto" w:eastAsia="Aptos" w:hAnsi="Roboto" w:cs="Aptos"/>
                    <w:kern w:val="0"/>
                  </w:rPr>
                  <w:t>Ma</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50A2499F" w:rsidR="002B2702" w:rsidRPr="00785726" w:rsidRDefault="00AD2076" w:rsidP="002B2702">
                <w:pPr>
                  <w:rPr>
                    <w:rFonts w:ascii="Segoe UI Symbol" w:eastAsia="Aptos" w:hAnsi="Segoe UI Symbol" w:cs="Segoe UI Symbol"/>
                    <w:kern w:val="0"/>
                  </w:rPr>
                </w:pPr>
                <w:r w:rsidRPr="00AD2076">
                  <w:rPr>
                    <w:rFonts w:ascii="Segoe UI Symbol" w:eastAsia="Aptos" w:hAnsi="Segoe UI Symbol" w:cs="Segoe UI Symbol"/>
                    <w:kern w:val="0"/>
                  </w:rPr>
                  <w:t>https://harvardmedsim.org/course/healthcare-simulation-essentials-design-and-debriefing/#course-offerings</w:t>
                </w:r>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0E179B6D" w:rsidR="002B2702" w:rsidRPr="00785726" w:rsidRDefault="00814C0A"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00AD2076">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rPr>
              <w:id w:val="831269532"/>
              <w:placeholder>
                <w:docPart w:val="934B965DB0B3455AB7A29AC436C26F93"/>
              </w:placeholder>
            </w:sdtPr>
            <w:sdtEndPr/>
            <w:sdtContent>
              <w:p w14:paraId="6C39E60D" w14:textId="2A0C319E" w:rsidR="002B2702" w:rsidRPr="0001541C" w:rsidRDefault="00A7449F" w:rsidP="002B2702">
                <w:pPr>
                  <w:rPr>
                    <w:rFonts w:ascii="Roboto" w:eastAsia="Aptos" w:hAnsi="Roboto" w:cs="Aptos"/>
                    <w:kern w:val="0"/>
                  </w:rPr>
                </w:pPr>
                <w:r>
                  <w:rPr>
                    <w:rFonts w:ascii="Roboto" w:eastAsia="Aptos" w:hAnsi="Roboto" w:cs="Aptos"/>
                    <w:kern w:val="0"/>
                  </w:rPr>
                  <w:t xml:space="preserve">Medical </w:t>
                </w:r>
                <w:r w:rsidR="00A32BE2" w:rsidRPr="0001541C">
                  <w:rPr>
                    <w:rFonts w:ascii="Roboto" w:eastAsia="Aptos" w:hAnsi="Roboto" w:cs="Aptos"/>
                    <w:kern w:val="0"/>
                  </w:rPr>
                  <w:t xml:space="preserve">Simulation is relatively new, and there are limited options for </w:t>
                </w:r>
                <w:r w:rsidR="0001541C">
                  <w:rPr>
                    <w:rFonts w:ascii="Roboto" w:eastAsia="Aptos" w:hAnsi="Roboto" w:cs="Aptos"/>
                    <w:kern w:val="0"/>
                  </w:rPr>
                  <w:t xml:space="preserve">formal </w:t>
                </w:r>
                <w:r w:rsidR="00A32BE2" w:rsidRPr="0001541C">
                  <w:rPr>
                    <w:rFonts w:ascii="Roboto" w:eastAsia="Aptos" w:hAnsi="Roboto" w:cs="Aptos"/>
                    <w:kern w:val="0"/>
                  </w:rPr>
                  <w:t>training.</w:t>
                </w:r>
                <w:r w:rsidR="0001541C">
                  <w:rPr>
                    <w:rFonts w:ascii="Roboto" w:eastAsia="Aptos" w:hAnsi="Roboto" w:cs="Aptos"/>
                    <w:kern w:val="0"/>
                  </w:rPr>
                  <w:t xml:space="preserve"> The nature of simulation and scenario development makes in</w:t>
                </w:r>
                <w:r w:rsidR="00D327B3">
                  <w:rPr>
                    <w:rFonts w:ascii="Roboto" w:eastAsia="Aptos" w:hAnsi="Roboto" w:cs="Aptos"/>
                    <w:kern w:val="0"/>
                  </w:rPr>
                  <w:t>-</w:t>
                </w:r>
                <w:r w:rsidR="0001541C">
                  <w:rPr>
                    <w:rFonts w:ascii="Roboto" w:eastAsia="Aptos" w:hAnsi="Roboto" w:cs="Aptos"/>
                    <w:kern w:val="0"/>
                  </w:rPr>
                  <w:t xml:space="preserve">person learning much more beneficial, than </w:t>
                </w:r>
                <w:r w:rsidR="00D327B3">
                  <w:rPr>
                    <w:rFonts w:ascii="Roboto" w:eastAsia="Aptos" w:hAnsi="Roboto" w:cs="Aptos"/>
                    <w:kern w:val="0"/>
                  </w:rPr>
                  <w:t>distance/online/</w:t>
                </w:r>
                <w:r w:rsidR="0001541C">
                  <w:rPr>
                    <w:rFonts w:ascii="Roboto" w:eastAsia="Aptos" w:hAnsi="Roboto" w:cs="Aptos"/>
                    <w:kern w:val="0"/>
                  </w:rPr>
                  <w:t>webinar</w:t>
                </w:r>
                <w:r w:rsidR="00D327B3">
                  <w:rPr>
                    <w:rFonts w:ascii="Roboto" w:eastAsia="Aptos" w:hAnsi="Roboto" w:cs="Aptos"/>
                    <w:kern w:val="0"/>
                  </w:rPr>
                  <w:t xml:space="preserve"> learning</w:t>
                </w:r>
                <w:r w:rsidR="0001541C">
                  <w:rPr>
                    <w:rFonts w:ascii="Roboto" w:eastAsia="Aptos" w:hAnsi="Roboto" w:cs="Aptos"/>
                    <w:kern w:val="0"/>
                  </w:rPr>
                  <w:t>.</w:t>
                </w:r>
                <w:r>
                  <w:rPr>
                    <w:rFonts w:ascii="Roboto" w:eastAsia="Aptos" w:hAnsi="Roboto" w:cs="Aptos"/>
                    <w:kern w:val="0"/>
                  </w:rPr>
                  <w:t xml:space="preserve"> Courses like these will help guide our scenario building, mannikin and technology use, and proper debriefing which is the ultimate goal of delivering effective education, and addressing errors and safety issues within our medical </w:t>
                </w:r>
                <w:r w:rsidR="00D327B3">
                  <w:rPr>
                    <w:rFonts w:ascii="Roboto" w:eastAsia="Aptos" w:hAnsi="Roboto" w:cs="Aptos"/>
                    <w:kern w:val="0"/>
                  </w:rPr>
                  <w:t>system.</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405948BB" w14:textId="3B3322AB" w:rsidR="002B2702" w:rsidRPr="00785726" w:rsidRDefault="00A32BE2" w:rsidP="002B2702">
                <w:pPr>
                  <w:rPr>
                    <w:rFonts w:ascii="Roboto" w:eastAsia="Aptos" w:hAnsi="Roboto" w:cs="Aptos"/>
                    <w:kern w:val="0"/>
                  </w:rPr>
                </w:pPr>
                <w:r>
                  <w:rPr>
                    <w:rFonts w:ascii="Roboto" w:eastAsia="Aptos" w:hAnsi="Roboto" w:cs="Aptos"/>
                    <w:kern w:val="0"/>
                  </w:rPr>
                  <w:t>Simulation is a relatively new training method, designed to immerse caregivers into a realistic environment, to test the participants knowledge, practice interventions and procedures, and stimulate critical thinking in those stressful situations. We utilize information from Safety and Quality Improvement to identify common errors and concerns, and then integrate them into our scenarios. Improving patient care, and preventing future errors.</w:t>
                </w:r>
                <w:r w:rsidR="00D327B3">
                  <w:rPr>
                    <w:rFonts w:ascii="Roboto" w:eastAsia="Aptos" w:hAnsi="Roboto" w:cs="Aptos"/>
                    <w:kern w:val="0"/>
                  </w:rPr>
                  <w:t xml:space="preserve"> Staff have been very receptive to the hands-on approach of simulation, in stimulating critical thinking, over other educational methods, such as PowerPoints and memos for staff. We have created a “Room of Errors” for staff to identify safety concerns and errors, which was driven by our Quality Improvement teams and Error reporting systems. Staff have more engagement and buy in with the Room of Errors, than those traditional memos and updates. </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2236D90B" w:rsidR="002B2702" w:rsidRPr="00785726" w:rsidRDefault="00A32BE2" w:rsidP="002B2702">
                <w:pPr>
                  <w:contextualSpacing/>
                  <w:rPr>
                    <w:rFonts w:ascii="Roboto" w:eastAsia="Aptos" w:hAnsi="Roboto" w:cs="Aptos"/>
                    <w:kern w:val="0"/>
                  </w:rPr>
                </w:pPr>
                <w:r>
                  <w:rPr>
                    <w:rFonts w:ascii="Roboto" w:eastAsia="Aptos" w:hAnsi="Roboto" w:cs="Aptos"/>
                    <w:kern w:val="0"/>
                  </w:rPr>
                  <w:t xml:space="preserve">This educational </w:t>
                </w:r>
                <w:r w:rsidR="00A32115">
                  <w:rPr>
                    <w:rFonts w:ascii="Roboto" w:eastAsia="Aptos" w:hAnsi="Roboto" w:cs="Aptos"/>
                    <w:kern w:val="0"/>
                  </w:rPr>
                  <w:t>course is designed to guide new Simulation Coordinators/Instructors on developing scenarios, creating a safe learning environment, and facilitating the equipment and mannequins. It is a comprehensive course designed to provide the framework for a successful simulation program.</w:t>
                </w:r>
                <w:r w:rsidR="00D327B3">
                  <w:rPr>
                    <w:rFonts w:ascii="Roboto" w:eastAsia="Aptos" w:hAnsi="Roboto" w:cs="Aptos"/>
                    <w:kern w:val="0"/>
                  </w:rPr>
                  <w:t xml:space="preserve"> </w:t>
                </w:r>
                <w:r w:rsidR="00C61060">
                  <w:rPr>
                    <w:rFonts w:ascii="Roboto" w:eastAsia="Aptos" w:hAnsi="Roboto" w:cs="Aptos"/>
                    <w:kern w:val="0"/>
                  </w:rPr>
                  <w:t>The course will help us grow and develop our simulation program, and ensure we are providing the most effective training.</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438A56A1" w14:textId="32E39CF0" w:rsidR="002B2702" w:rsidRPr="00785726" w:rsidRDefault="00BD24C5" w:rsidP="002B2702">
                <w:pPr>
                  <w:rPr>
                    <w:rFonts w:ascii="Roboto" w:eastAsia="Aptos" w:hAnsi="Roboto" w:cs="Aptos"/>
                    <w:kern w:val="0"/>
                  </w:rPr>
                </w:pPr>
                <w:r>
                  <w:rPr>
                    <w:rFonts w:ascii="Roboto" w:eastAsia="Aptos" w:hAnsi="Roboto" w:cs="Aptos"/>
                    <w:kern w:val="0"/>
                  </w:rPr>
                  <w:t xml:space="preserve">Simulation is great educational method. I can identify current trends in safety and error prevention, and integrate them into the scenarios. </w:t>
                </w:r>
                <w:r w:rsidR="00C33361" w:rsidRPr="00C33361">
                  <w:rPr>
                    <w:rFonts w:ascii="Roboto" w:eastAsia="Aptos" w:hAnsi="Roboto" w:cs="Aptos"/>
                    <w:kern w:val="0"/>
                  </w:rPr>
                  <w:t>We have actually created process improvement by thoroughly researching the policies and evidence-based practices, and collaborating with involved participants</w:t>
                </w:r>
                <w:r w:rsidR="00C33361">
                  <w:rPr>
                    <w:rFonts w:ascii="Roboto" w:eastAsia="Aptos" w:hAnsi="Roboto" w:cs="Aptos"/>
                    <w:kern w:val="0"/>
                  </w:rPr>
                  <w:t xml:space="preserve"> and subject matter experts</w:t>
                </w:r>
                <w:r w:rsidR="00C61060">
                  <w:rPr>
                    <w:rFonts w:ascii="Roboto" w:eastAsia="Aptos" w:hAnsi="Roboto" w:cs="Aptos"/>
                    <w:kern w:val="0"/>
                  </w:rPr>
                  <w:t>, prior to even performing the scenarios</w:t>
                </w:r>
                <w:r w:rsidR="00C33361" w:rsidRPr="00C33361">
                  <w:rPr>
                    <w:rFonts w:ascii="Roboto" w:eastAsia="Aptos" w:hAnsi="Roboto" w:cs="Aptos"/>
                    <w:kern w:val="0"/>
                  </w:rPr>
                  <w:t xml:space="preserve">. </w:t>
                </w:r>
                <w:r>
                  <w:rPr>
                    <w:rFonts w:ascii="Roboto" w:eastAsia="Aptos" w:hAnsi="Roboto" w:cs="Aptos"/>
                    <w:kern w:val="0"/>
                  </w:rPr>
                  <w:t xml:space="preserve">The embedded topics are then drawn out as learners work through the scenario, and reflect on the situation through our debriefing. During debriefing, the participants are encouraged to discuss and reflect on the situation. </w:t>
                </w:r>
                <w:r w:rsidR="0001541C">
                  <w:rPr>
                    <w:rFonts w:ascii="Roboto" w:eastAsia="Aptos" w:hAnsi="Roboto" w:cs="Aptos"/>
                    <w:kern w:val="0"/>
                  </w:rPr>
                  <w:t>After we present the content</w:t>
                </w:r>
                <w:r>
                  <w:rPr>
                    <w:rFonts w:ascii="Roboto" w:eastAsia="Aptos" w:hAnsi="Roboto" w:cs="Aptos"/>
                    <w:kern w:val="0"/>
                  </w:rPr>
                  <w:t>, through the critical thinking and collaboration that occurs in the debriefing</w:t>
                </w:r>
                <w:r w:rsidR="0001541C">
                  <w:rPr>
                    <w:rFonts w:ascii="Roboto" w:eastAsia="Aptos" w:hAnsi="Roboto" w:cs="Aptos"/>
                    <w:kern w:val="0"/>
                  </w:rPr>
                  <w:t xml:space="preserve">, we </w:t>
                </w:r>
                <w:r w:rsidR="00C33361">
                  <w:rPr>
                    <w:rFonts w:ascii="Roboto" w:eastAsia="Aptos" w:hAnsi="Roboto" w:cs="Aptos"/>
                    <w:kern w:val="0"/>
                  </w:rPr>
                  <w:t>have further developed proactive policy change</w:t>
                </w:r>
                <w:r>
                  <w:rPr>
                    <w:rFonts w:ascii="Roboto" w:eastAsia="Aptos" w:hAnsi="Roboto" w:cs="Aptos"/>
                    <w:kern w:val="0"/>
                  </w:rPr>
                  <w:t xml:space="preserve">.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5C078A9F"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C33361">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2"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3"/>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F4DA" w14:textId="77777777" w:rsidR="00661A49" w:rsidRDefault="00661A49" w:rsidP="00D01166">
      <w:pPr>
        <w:spacing w:after="0" w:line="240" w:lineRule="auto"/>
      </w:pPr>
      <w:r>
        <w:separator/>
      </w:r>
    </w:p>
  </w:endnote>
  <w:endnote w:type="continuationSeparator" w:id="0">
    <w:p w14:paraId="20EC7258" w14:textId="77777777" w:rsidR="00661A49" w:rsidRDefault="00661A49"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A1E1F" w14:textId="77777777" w:rsidR="00661A49" w:rsidRDefault="00661A49" w:rsidP="00D01166">
      <w:pPr>
        <w:spacing w:after="0" w:line="240" w:lineRule="auto"/>
      </w:pPr>
      <w:r>
        <w:separator/>
      </w:r>
    </w:p>
  </w:footnote>
  <w:footnote w:type="continuationSeparator" w:id="0">
    <w:p w14:paraId="48C146E6" w14:textId="77777777" w:rsidR="00661A49" w:rsidRDefault="00661A49"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925696">
    <w:abstractNumId w:val="4"/>
  </w:num>
  <w:num w:numId="2" w16cid:durableId="441414157">
    <w:abstractNumId w:val="0"/>
  </w:num>
  <w:num w:numId="3" w16cid:durableId="1463619233">
    <w:abstractNumId w:val="1"/>
  </w:num>
  <w:num w:numId="4" w16cid:durableId="1622179167">
    <w:abstractNumId w:val="2"/>
  </w:num>
  <w:num w:numId="5" w16cid:durableId="230965275">
    <w:abstractNumId w:val="5"/>
  </w:num>
  <w:num w:numId="6" w16cid:durableId="247159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541C"/>
    <w:rsid w:val="000204E7"/>
    <w:rsid w:val="000301BF"/>
    <w:rsid w:val="00032418"/>
    <w:rsid w:val="00046E11"/>
    <w:rsid w:val="0004751B"/>
    <w:rsid w:val="0006136E"/>
    <w:rsid w:val="0008653F"/>
    <w:rsid w:val="000B5B89"/>
    <w:rsid w:val="000E5EF9"/>
    <w:rsid w:val="000F6498"/>
    <w:rsid w:val="0012493D"/>
    <w:rsid w:val="001372D5"/>
    <w:rsid w:val="00162813"/>
    <w:rsid w:val="001C7EE1"/>
    <w:rsid w:val="002206C1"/>
    <w:rsid w:val="002A39A8"/>
    <w:rsid w:val="002A47CE"/>
    <w:rsid w:val="002B2702"/>
    <w:rsid w:val="003E011A"/>
    <w:rsid w:val="0040164E"/>
    <w:rsid w:val="00435D81"/>
    <w:rsid w:val="00436CE7"/>
    <w:rsid w:val="00476F66"/>
    <w:rsid w:val="00482D0C"/>
    <w:rsid w:val="005306C4"/>
    <w:rsid w:val="00537139"/>
    <w:rsid w:val="005A6834"/>
    <w:rsid w:val="005B1937"/>
    <w:rsid w:val="005B233B"/>
    <w:rsid w:val="005B53C4"/>
    <w:rsid w:val="005B712E"/>
    <w:rsid w:val="00606DA3"/>
    <w:rsid w:val="006220AA"/>
    <w:rsid w:val="00661A49"/>
    <w:rsid w:val="006B17E2"/>
    <w:rsid w:val="006B4764"/>
    <w:rsid w:val="007024C6"/>
    <w:rsid w:val="00725633"/>
    <w:rsid w:val="00783E52"/>
    <w:rsid w:val="00785726"/>
    <w:rsid w:val="00791A51"/>
    <w:rsid w:val="007B494C"/>
    <w:rsid w:val="00814C0A"/>
    <w:rsid w:val="00816DE1"/>
    <w:rsid w:val="008262D9"/>
    <w:rsid w:val="00834609"/>
    <w:rsid w:val="0089310A"/>
    <w:rsid w:val="0097410C"/>
    <w:rsid w:val="009B5679"/>
    <w:rsid w:val="009E4B4D"/>
    <w:rsid w:val="00A04CD5"/>
    <w:rsid w:val="00A32115"/>
    <w:rsid w:val="00A32BE2"/>
    <w:rsid w:val="00A7449F"/>
    <w:rsid w:val="00AD2076"/>
    <w:rsid w:val="00AD75D3"/>
    <w:rsid w:val="00AE33AE"/>
    <w:rsid w:val="00B47931"/>
    <w:rsid w:val="00B47D0E"/>
    <w:rsid w:val="00B66031"/>
    <w:rsid w:val="00BC6272"/>
    <w:rsid w:val="00BD24C5"/>
    <w:rsid w:val="00BE7D0E"/>
    <w:rsid w:val="00BF4D74"/>
    <w:rsid w:val="00C33361"/>
    <w:rsid w:val="00C334F8"/>
    <w:rsid w:val="00C61060"/>
    <w:rsid w:val="00C63CFB"/>
    <w:rsid w:val="00C9143B"/>
    <w:rsid w:val="00CA190B"/>
    <w:rsid w:val="00CD55E0"/>
    <w:rsid w:val="00D01166"/>
    <w:rsid w:val="00D01B7B"/>
    <w:rsid w:val="00D327B3"/>
    <w:rsid w:val="00D35F3D"/>
    <w:rsid w:val="00DC5590"/>
    <w:rsid w:val="00E3054A"/>
    <w:rsid w:val="00E33BE3"/>
    <w:rsid w:val="00E529AB"/>
    <w:rsid w:val="00E7798A"/>
    <w:rsid w:val="00EA48AD"/>
    <w:rsid w:val="00EB64B3"/>
    <w:rsid w:val="00F21CB9"/>
    <w:rsid w:val="00F34162"/>
    <w:rsid w:val="00F748CA"/>
    <w:rsid w:val="00F76789"/>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eixawards@premier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ixawards@premi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4D1DF3"/>
    <w:rsid w:val="005306C4"/>
    <w:rsid w:val="005A6834"/>
    <w:rsid w:val="005B53C4"/>
    <w:rsid w:val="00606DA3"/>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081C5B7C6DD46BED9A265285FC66D" ma:contentTypeVersion="14" ma:contentTypeDescription="Create a new document." ma:contentTypeScope="" ma:versionID="088b0618ec0fec8058e48f45c6c08980">
  <xsd:schema xmlns:xsd="http://www.w3.org/2001/XMLSchema" xmlns:xs="http://www.w3.org/2001/XMLSchema" xmlns:p="http://schemas.microsoft.com/office/2006/metadata/properties" xmlns:ns3="343a9943-3923-4f37-87f0-802487ff6059" xmlns:ns4="0c55ed18-1be2-40b6-a5b7-35c0e707e92a" targetNamespace="http://schemas.microsoft.com/office/2006/metadata/properties" ma:root="true" ma:fieldsID="39e3610c81848e39a0555938985986e8" ns3:_="" ns4:_="">
    <xsd:import namespace="343a9943-3923-4f37-87f0-802487ff6059"/>
    <xsd:import namespace="0c55ed18-1be2-40b6-a5b7-35c0e707e9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a9943-3923-4f37-87f0-802487ff6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ed18-1be2-40b6-a5b7-35c0e707e9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3a9943-3923-4f37-87f0-802487ff6059" xsi:nil="true"/>
  </documentManagement>
</p:properties>
</file>

<file path=customXml/itemProps1.xml><?xml version="1.0" encoding="utf-8"?>
<ds:datastoreItem xmlns:ds="http://schemas.openxmlformats.org/officeDocument/2006/customXml" ds:itemID="{D5024A42-1F21-4BF6-9F53-7AE2F2A1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a9943-3923-4f37-87f0-802487ff6059"/>
    <ds:schemaRef ds:uri="0c55ed18-1be2-40b6-a5b7-35c0e707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D0296-895D-4090-A8BD-8AAE8B217989}">
  <ds:schemaRefs>
    <ds:schemaRef ds:uri="http://schemas.microsoft.com/sharepoint/v3/contenttype/forms"/>
  </ds:schemaRefs>
</ds:datastoreItem>
</file>

<file path=customXml/itemProps3.xml><?xml version="1.0" encoding="utf-8"?>
<ds:datastoreItem xmlns:ds="http://schemas.openxmlformats.org/officeDocument/2006/customXml" ds:itemID="{E5BC3E01-376D-4A65-90B3-755FBB66C275}">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343a9943-3923-4f37-87f0-802487ff6059"/>
    <ds:schemaRef ds:uri="http://purl.org/dc/dcmitype/"/>
    <ds:schemaRef ds:uri="http://schemas.openxmlformats.org/package/2006/metadata/core-properties"/>
    <ds:schemaRef ds:uri="0c55ed18-1be2-40b6-a5b7-35c0e707e9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cp:lastPrinted>2025-06-10T15:37:00Z</cp:lastPrinted>
  <dcterms:created xsi:type="dcterms:W3CDTF">2025-07-08T17:25:00Z</dcterms:created>
  <dcterms:modified xsi:type="dcterms:W3CDTF">2025-07-08T17:25:00Z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y fmtid="{D5CDD505-2E9C-101B-9397-08002B2CF9AE}" pid="10" name="ContentTypeId">
    <vt:lpwstr>0x010100BEB081C5B7C6DD46BED9A265285FC66D</vt:lpwstr>
  </property>
</Properties>
</file>