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72BBE97F">
                <v:stroke joinstyle="miter"/>
                <v:path gradientshapeok="t" o:connecttype="rect"/>
              </v:shapetype>
              <v:shape id="Text Box 1"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v:textbox>
                  <w:txbxContent>
                    <w:p w:rsidRPr="00D01166" w:rsidR="00FB042D" w:rsidP="00FB042D" w:rsidRDefault="00FB042D" w14:paraId="1A143645" w14:textId="77777777">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rsidRPr="00D01166" w:rsidR="00FB042D" w:rsidP="00FB042D" w:rsidRDefault="00FB042D" w14:paraId="1472B462" w14:textId="77777777">
                      <w:pPr>
                        <w:spacing w:after="0"/>
                        <w:jc w:val="center"/>
                        <w:rPr>
                          <w:rFonts w:ascii="Roboto" w:hAnsi="Roboto"/>
                          <w:b/>
                          <w:bCs/>
                          <w:sz w:val="26"/>
                          <w:szCs w:val="26"/>
                        </w:rPr>
                      </w:pPr>
                      <w:r w:rsidRPr="00D01166">
                        <w:rPr>
                          <w:rFonts w:ascii="Roboto" w:hAnsi="Roboto"/>
                          <w:b/>
                          <w:bCs/>
                          <w:sz w:val="26"/>
                          <w:szCs w:val="26"/>
                        </w:rPr>
                        <w:t>Professional Development Scholarship Application</w:t>
                      </w:r>
                    </w:p>
                    <w:p w:rsidR="00FB042D" w:rsidRDefault="00FB042D" w14:paraId="2DE0ECA5" w14:textId="77777777"/>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w:t>
      </w:r>
      <w:proofErr w:type="gramStart"/>
      <w:r>
        <w:t>attachment,  with</w:t>
      </w:r>
      <w:proofErr w:type="gramEnd"/>
      <w:r>
        <w:t xml:space="preserve">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Text Box 4"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color="#00206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w14:anchorId="031899A2">
                <v:textbox>
                  <w:txbxContent>
                    <w:p w:rsidRPr="00196B87" w:rsidR="00834609" w:rsidP="00FB042D" w:rsidRDefault="00834609" w14:paraId="28F07CF7" w14:textId="77777777">
                      <w:pPr>
                        <w:rPr>
                          <w:rFonts w:ascii="Roboto" w:hAnsi="Roboto"/>
                          <w:b/>
                          <w:bCs/>
                        </w:rPr>
                      </w:pPr>
                      <w:r w:rsidRPr="00196B87">
                        <w:rPr>
                          <w:rFonts w:ascii="Roboto" w:hAnsi="Roboto"/>
                          <w:b/>
                          <w:bCs/>
                        </w:rPr>
                        <w:t>TIMELINE</w:t>
                      </w:r>
                    </w:p>
                    <w:p w:rsidRPr="008A1B37" w:rsidR="00834609" w:rsidP="00FB042D" w:rsidRDefault="00834609" w14:paraId="2CF6C575" w14:textId="506BB959">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rsidRPr="008A1B37" w:rsidR="00834609" w:rsidP="00FB042D" w:rsidRDefault="00834609" w14:paraId="1201D60D" w14:textId="4FB26F10">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rsidRPr="008A1B37" w:rsidR="00834609" w:rsidP="00FB042D" w:rsidRDefault="00834609" w14:paraId="6B7D5B34" w14:textId="77777777">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rsidR="00834609" w:rsidP="00FB042D" w:rsidRDefault="00834609" w14:paraId="4320D9B8" w14:textId="77777777">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rsidRPr="00285EE5" w:rsidR="00834609" w:rsidP="00FB042D" w:rsidRDefault="00834609" w14:paraId="5E4D3D30" w14:textId="77777777">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rsidRPr="008A1B37" w:rsidR="00834609" w:rsidP="00FB042D" w:rsidRDefault="00834609" w14:paraId="54313001" w14:textId="77777777">
                      <w:pPr>
                        <w:spacing w:after="0"/>
                        <w:rPr>
                          <w:rFonts w:ascii="Roboto" w:hAnsi="Roboto"/>
                          <w:sz w:val="12"/>
                          <w:szCs w:val="12"/>
                        </w:rPr>
                      </w:pPr>
                    </w:p>
                    <w:p w:rsidRPr="00946B95" w:rsidR="00834609" w:rsidP="00FB042D" w:rsidRDefault="00834609" w14:paraId="7E0B80D5" w14:textId="77777777">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rsidRPr="00946B95" w:rsidR="00834609" w:rsidP="00FB042D" w:rsidRDefault="00834609" w14:paraId="1A5A6FDB" w14:textId="77777777">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0050A536">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50A536">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35C6A66B" w:rsidR="002B2702" w:rsidRPr="00785726" w:rsidRDefault="002B2702" w:rsidP="002B2702">
                <w:pPr>
                  <w:rPr>
                    <w:rFonts w:ascii="Roboto" w:eastAsia="Aptos" w:hAnsi="Roboto" w:cs="Aptos"/>
                    <w:kern w:val="0"/>
                  </w:rPr>
                </w:pPr>
                <w:r w:rsidRPr="0050A536">
                  <w:rPr>
                    <w:rFonts w:ascii="Roboto" w:eastAsia="Aptos" w:hAnsi="Roboto" w:cs="Aptos"/>
                  </w:rPr>
                  <w:t>C</w:t>
                </w:r>
                <w:r w:rsidR="6E7A14AA" w:rsidRPr="0050A536">
                  <w:rPr>
                    <w:rFonts w:ascii="Roboto" w:eastAsia="Aptos" w:hAnsi="Roboto" w:cs="Aptos"/>
                  </w:rPr>
                  <w:t>orey Johns</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4C67F8E3" w14:textId="4C54DEC2" w:rsidR="002B2702" w:rsidRPr="00785726" w:rsidRDefault="07EFA79F" w:rsidP="002B2702">
                <w:pPr>
                  <w:rPr>
                    <w:rFonts w:ascii="Roboto" w:eastAsia="Aptos" w:hAnsi="Roboto" w:cs="Aptos"/>
                    <w:kern w:val="0"/>
                  </w:rPr>
                </w:pPr>
                <w:r w:rsidRPr="0050A536">
                  <w:rPr>
                    <w:rFonts w:ascii="Roboto" w:eastAsia="Aptos" w:hAnsi="Roboto" w:cs="Aptos"/>
                  </w:rPr>
                  <w:t>7/10/2025</w:t>
                </w:r>
              </w:p>
            </w:tc>
          </w:sdtContent>
        </w:sdt>
      </w:tr>
      <w:tr w:rsidR="002B2702" w:rsidRPr="00785726" w14:paraId="2BD68645" w14:textId="77777777" w:rsidTr="0050A536">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7D773D4C" w:rsidR="002B2702" w:rsidRPr="00785726" w:rsidRDefault="002B2702" w:rsidP="002B2702">
                <w:pPr>
                  <w:rPr>
                    <w:rFonts w:ascii="Roboto" w:eastAsia="Aptos" w:hAnsi="Roboto" w:cs="Aptos"/>
                    <w:kern w:val="0"/>
                  </w:rPr>
                </w:pPr>
                <w:r w:rsidRPr="0050A536">
                  <w:rPr>
                    <w:rFonts w:ascii="Roboto" w:eastAsia="Aptos" w:hAnsi="Roboto" w:cs="Aptos"/>
                  </w:rPr>
                  <w:t>C</w:t>
                </w:r>
                <w:r w:rsidR="29C51FF8" w:rsidRPr="0050A536">
                  <w:rPr>
                    <w:rFonts w:ascii="Roboto" w:eastAsia="Aptos" w:hAnsi="Roboto" w:cs="Aptos"/>
                  </w:rPr>
                  <w:t>orey</w:t>
                </w:r>
                <w:r w:rsidRPr="0050A536">
                  <w:rPr>
                    <w:rFonts w:ascii="Roboto" w:eastAsia="Aptos" w:hAnsi="Roboto" w:cs="Aptos"/>
                  </w:rPr>
                  <w:t>.</w:t>
                </w:r>
                <w:r w:rsidR="29C51FF8" w:rsidRPr="0050A536">
                  <w:rPr>
                    <w:rFonts w:ascii="Roboto" w:eastAsia="Aptos" w:hAnsi="Roboto" w:cs="Aptos"/>
                  </w:rPr>
                  <w:t>johns@bhsi.com</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0655FCF9" w14:textId="7057E9F0" w:rsidR="002B2702" w:rsidRPr="00785726" w:rsidRDefault="07938142" w:rsidP="002B2702">
                <w:pPr>
                  <w:rPr>
                    <w:rFonts w:ascii="Roboto" w:eastAsia="Aptos" w:hAnsi="Roboto" w:cs="Aptos"/>
                    <w:kern w:val="0"/>
                  </w:rPr>
                </w:pPr>
                <w:r w:rsidRPr="0050A536">
                  <w:rPr>
                    <w:rFonts w:ascii="Roboto" w:eastAsia="Aptos" w:hAnsi="Roboto" w:cs="Aptos"/>
                  </w:rPr>
                  <w:t>Regional Director for Risk Management and Patient Safety</w:t>
                </w:r>
              </w:p>
            </w:tc>
          </w:sdtContent>
        </w:sdt>
      </w:tr>
      <w:tr w:rsidR="002B2702" w:rsidRPr="00785726" w14:paraId="711B6DB6"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1F56412C" w:rsidR="002B2702" w:rsidRPr="00785726" w:rsidRDefault="317A5FAC" w:rsidP="002B2702">
                <w:pPr>
                  <w:rPr>
                    <w:rFonts w:ascii="Roboto" w:eastAsia="Aptos" w:hAnsi="Roboto" w:cs="Aptos"/>
                    <w:kern w:val="0"/>
                  </w:rPr>
                </w:pPr>
                <w:r w:rsidRPr="0050A536">
                  <w:rPr>
                    <w:rFonts w:ascii="Roboto" w:eastAsia="Aptos" w:hAnsi="Roboto" w:cs="Aptos"/>
                  </w:rPr>
                  <w:t>Lynn Kolokowsky</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7E753266" w14:textId="32BED15E" w:rsidR="002B2702" w:rsidRPr="00785726" w:rsidRDefault="009B36F7" w:rsidP="002B2702">
                <w:pPr>
                  <w:rPr>
                    <w:rFonts w:ascii="Roboto" w:eastAsia="Aptos" w:hAnsi="Roboto" w:cs="Aptos"/>
                    <w:kern w:val="0"/>
                  </w:rPr>
                </w:pPr>
                <w:r>
                  <w:rPr>
                    <w:rFonts w:ascii="Roboto" w:eastAsia="Aptos" w:hAnsi="Roboto" w:cs="Aptos"/>
                  </w:rPr>
                  <w:t>Gerard Coleman</w:t>
                </w:r>
              </w:p>
            </w:tc>
          </w:sdtContent>
        </w:sdt>
      </w:tr>
      <w:tr w:rsidR="002B2702" w:rsidRPr="00785726" w14:paraId="43716E5E"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0143D129" w:rsidR="002B2702" w:rsidRPr="00785726" w:rsidRDefault="2941861A" w:rsidP="002B2702">
                <w:pPr>
                  <w:rPr>
                    <w:rFonts w:ascii="Roboto" w:eastAsia="Aptos" w:hAnsi="Roboto" w:cs="Aptos"/>
                    <w:kern w:val="0"/>
                  </w:rPr>
                </w:pPr>
                <w:r w:rsidRPr="0050A536">
                  <w:rPr>
                    <w:rFonts w:ascii="Roboto" w:eastAsia="Aptos" w:hAnsi="Roboto" w:cs="Aptos"/>
                  </w:rPr>
                  <w:t>lynn.kolokowsky@bhsi.com</w:t>
                </w:r>
              </w:p>
            </w:tc>
          </w:sdtContent>
        </w:sdt>
      </w:tr>
      <w:tr w:rsidR="002B2702" w:rsidRPr="00785726" w14:paraId="0374C35C"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15612BB7" w:rsidR="002B2702" w:rsidRPr="00785726" w:rsidRDefault="1359B569" w:rsidP="002B2702">
                <w:pPr>
                  <w:rPr>
                    <w:rFonts w:ascii="Roboto" w:eastAsia="Aptos" w:hAnsi="Roboto" w:cs="Aptos"/>
                    <w:kern w:val="0"/>
                  </w:rPr>
                </w:pPr>
                <w:r w:rsidRPr="0050A536">
                  <w:rPr>
                    <w:rFonts w:ascii="Roboto" w:eastAsia="Aptos" w:hAnsi="Roboto" w:cs="Aptos"/>
                  </w:rPr>
                  <w:t>Baptist Health</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2E69963A" w14:textId="0CC9BBCB" w:rsidR="002B2702" w:rsidRPr="00785726" w:rsidRDefault="7B5559E2" w:rsidP="0050A536">
                <w:pPr>
                  <w:rPr>
                    <w:rFonts w:ascii="Roboto" w:eastAsia="Aptos" w:hAnsi="Roboto" w:cs="Aptos"/>
                  </w:rPr>
                </w:pPr>
                <w:r w:rsidRPr="0050A536">
                  <w:rPr>
                    <w:rFonts w:ascii="Roboto" w:eastAsia="Aptos" w:hAnsi="Roboto" w:cs="Aptos"/>
                  </w:rPr>
                  <w:t>1901 Campus Place</w:t>
                </w:r>
              </w:p>
              <w:p w14:paraId="7EBF1425" w14:textId="37D1C9FC" w:rsidR="002B2702" w:rsidRPr="00785726" w:rsidRDefault="7B5559E2" w:rsidP="002B2702">
                <w:pPr>
                  <w:rPr>
                    <w:rFonts w:ascii="Roboto" w:eastAsia="Aptos" w:hAnsi="Roboto" w:cs="Aptos"/>
                    <w:kern w:val="0"/>
                  </w:rPr>
                </w:pPr>
                <w:r w:rsidRPr="0050A536">
                  <w:rPr>
                    <w:rFonts w:ascii="Roboto" w:eastAsia="Aptos" w:hAnsi="Roboto" w:cs="Aptos"/>
                  </w:rPr>
                  <w:t>Louisville, Ky. 40222</w:t>
                </w:r>
              </w:p>
            </w:tc>
          </w:sdtContent>
        </w:sdt>
      </w:tr>
      <w:tr w:rsidR="002B2702" w:rsidRPr="00785726" w14:paraId="5325F994"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 xml:space="preserve">Number of years </w:t>
            </w:r>
            <w:proofErr w:type="gramStart"/>
            <w:r w:rsidRPr="00436CE7">
              <w:rPr>
                <w:rFonts w:ascii="Roboto" w:eastAsia="Aptos" w:hAnsi="Roboto" w:cs="Aptos"/>
                <w:kern w:val="0"/>
                <w:sz w:val="18"/>
                <w:szCs w:val="18"/>
              </w:rPr>
              <w:t>applicant has been</w:t>
            </w:r>
            <w:proofErr w:type="gramEnd"/>
            <w:r w:rsidRPr="00436CE7">
              <w:rPr>
                <w:rFonts w:ascii="Roboto" w:eastAsia="Aptos" w:hAnsi="Roboto" w:cs="Aptos"/>
                <w:kern w:val="0"/>
                <w:sz w:val="18"/>
                <w:szCs w:val="18"/>
              </w:rPr>
              <w:t xml:space="preserve">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5C103A75" w14:textId="2BCDCA48" w:rsidR="002B2702" w:rsidRPr="00785726" w:rsidRDefault="3D63552C" w:rsidP="002B2702">
                <w:pPr>
                  <w:rPr>
                    <w:rFonts w:ascii="Roboto" w:eastAsia="Aptos" w:hAnsi="Roboto" w:cs="Aptos"/>
                    <w:kern w:val="0"/>
                  </w:rPr>
                </w:pPr>
                <w:r w:rsidRPr="0050A536">
                  <w:rPr>
                    <w:rFonts w:ascii="Roboto" w:eastAsia="Aptos" w:hAnsi="Roboto" w:cs="Aptos"/>
                  </w:rPr>
                  <w:t>11</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36C58903" w14:textId="15BCE4E9" w:rsidR="002B2702" w:rsidRPr="00785726" w:rsidRDefault="64D0737E" w:rsidP="002B2702">
                <w:pPr>
                  <w:rPr>
                    <w:rFonts w:ascii="Roboto" w:eastAsia="Aptos" w:hAnsi="Roboto" w:cs="Aptos"/>
                    <w:kern w:val="0"/>
                  </w:rPr>
                </w:pPr>
                <w:r w:rsidRPr="0050A536">
                  <w:rPr>
                    <w:rFonts w:ascii="Roboto" w:eastAsia="Aptos" w:hAnsi="Roboto" w:cs="Aptos"/>
                  </w:rPr>
                  <w:t>5</w:t>
                </w:r>
              </w:p>
            </w:tc>
          </w:sdtContent>
        </w:sdt>
      </w:tr>
      <w:tr w:rsidR="002B2702" w:rsidRPr="00785726" w14:paraId="12414394"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7335B359" w14:textId="3E9A5166" w:rsidR="002B2702" w:rsidRPr="00785726" w:rsidRDefault="002B2702" w:rsidP="002B2702">
                <w:pPr>
                  <w:rPr>
                    <w:rFonts w:ascii="Roboto" w:eastAsia="Aptos" w:hAnsi="Roboto" w:cs="Aptos"/>
                    <w:kern w:val="0"/>
                  </w:rPr>
                </w:pPr>
                <w:r w:rsidRPr="0050A536">
                  <w:rPr>
                    <w:rFonts w:ascii="Roboto" w:eastAsia="Aptos" w:hAnsi="Roboto" w:cs="Aptos"/>
                  </w:rPr>
                  <w:t>C</w:t>
                </w:r>
                <w:r w:rsidR="5580D2B4" w:rsidRPr="0050A536">
                  <w:rPr>
                    <w:rFonts w:ascii="Roboto" w:eastAsia="Aptos" w:hAnsi="Roboto" w:cs="Aptos"/>
                  </w:rPr>
                  <w:t>PHRM certification</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tc>
          <w:tcPr>
            <w:tcW w:w="3422" w:type="dxa"/>
          </w:tcPr>
          <w:p w14:paraId="706FF61A" w14:textId="202F7D42" w:rsidR="002B2702" w:rsidRPr="00785726" w:rsidRDefault="409AC673" w:rsidP="002B2702">
            <w:pPr>
              <w:rPr>
                <w:rFonts w:ascii="Roboto" w:eastAsia="Aptos" w:hAnsi="Roboto" w:cs="Aptos"/>
                <w:kern w:val="0"/>
              </w:rPr>
            </w:pPr>
            <w:r w:rsidRPr="0050A536">
              <w:rPr>
                <w:rFonts w:ascii="Roboto" w:eastAsia="Aptos" w:hAnsi="Roboto" w:cs="Aptos"/>
              </w:rPr>
              <w:t>$</w:t>
            </w:r>
            <w:r w:rsidR="71D6EDE2" w:rsidRPr="0050A536">
              <w:rPr>
                <w:rFonts w:ascii="Roboto" w:eastAsia="Aptos" w:hAnsi="Roboto" w:cs="Aptos"/>
              </w:rPr>
              <w:t>599.00</w:t>
            </w:r>
            <w:r w:rsidR="08018908" w:rsidRPr="0050A536">
              <w:rPr>
                <w:rFonts w:ascii="Roboto" w:eastAsia="Aptos" w:hAnsi="Roboto" w:cs="Aptos"/>
              </w:rPr>
              <w:t xml:space="preserve"> prep</w:t>
            </w:r>
          </w:p>
        </w:tc>
      </w:tr>
      <w:tr w:rsidR="002B2702" w:rsidRPr="00785726" w14:paraId="240CDA2A"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16E17AD3" w14:textId="4D7D1721" w:rsidR="002B2702" w:rsidRPr="00785726" w:rsidRDefault="67E453E2" w:rsidP="002B2702">
                <w:pPr>
                  <w:rPr>
                    <w:rFonts w:ascii="Roboto" w:eastAsia="Aptos" w:hAnsi="Roboto" w:cs="Aptos"/>
                    <w:kern w:val="0"/>
                  </w:rPr>
                </w:pPr>
                <w:r w:rsidRPr="0050A536">
                  <w:rPr>
                    <w:rFonts w:ascii="Roboto" w:eastAsia="Aptos" w:hAnsi="Roboto" w:cs="Aptos"/>
                  </w:rPr>
                  <w:t xml:space="preserve">by </w:t>
                </w:r>
                <w:r w:rsidR="007122A4">
                  <w:rPr>
                    <w:rFonts w:ascii="Roboto" w:eastAsia="Aptos" w:hAnsi="Roboto" w:cs="Aptos"/>
                  </w:rPr>
                  <w:t>March 2026</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7777777" w:rsidR="002B2702" w:rsidRPr="00785726" w:rsidRDefault="78CF17A2" w:rsidP="002B2702">
            <w:pPr>
              <w:rPr>
                <w:rFonts w:ascii="Roboto" w:eastAsia="Aptos" w:hAnsi="Roboto" w:cs="Aptos"/>
                <w:kern w:val="0"/>
              </w:rPr>
            </w:pPr>
            <w:r w:rsidRPr="00785726">
              <w:rPr>
                <w:rFonts w:ascii="Segoe UI Symbol" w:eastAsia="Aptos" w:hAnsi="Segoe UI Symbol" w:cs="Segoe UI Symbol"/>
                <w:kern w:val="0"/>
              </w:rPr>
              <w:t xml:space="preserve">X- </w:t>
            </w:r>
            <w:r w:rsidR="002B2702" w:rsidRPr="00785726">
              <w:rPr>
                <w:rFonts w:ascii="Roboto" w:eastAsia="Aptos" w:hAnsi="Roboto" w:cs="Aptos"/>
                <w:kern w:val="0"/>
              </w:rPr>
              <w:t xml:space="preserve">Virtual </w:t>
            </w:r>
            <w:r w:rsidR="002B2702" w:rsidRPr="0050A536">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tc>
      </w:tr>
      <w:tr w:rsidR="002B2702" w:rsidRPr="00785726" w14:paraId="5E79FDFB"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 xml:space="preserve">Copy and </w:t>
            </w:r>
            <w:proofErr w:type="gramStart"/>
            <w:r w:rsidRPr="00FF3D91">
              <w:rPr>
                <w:rFonts w:ascii="Roboto" w:eastAsia="Aptos" w:hAnsi="Roboto" w:cs="Segoe UI Symbol"/>
                <w:kern w:val="0"/>
              </w:rPr>
              <w:t>Paste</w:t>
            </w:r>
            <w:proofErr w:type="gramEnd"/>
            <w:r w:rsidRPr="00FF3D91">
              <w:rPr>
                <w:rFonts w:ascii="Roboto" w:eastAsia="Aptos" w:hAnsi="Roboto" w:cs="Segoe UI Symbol"/>
                <w:kern w:val="0"/>
              </w:rPr>
              <w:t xml:space="preserv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0C5BDDF0" w14:textId="4CB28DDE" w:rsidR="002B2702" w:rsidRPr="00785726" w:rsidRDefault="39A81F86" w:rsidP="0050A536">
                <w:pPr>
                  <w:rPr>
                    <w:rFonts w:ascii="Segoe UI Symbol" w:eastAsia="Segoe UI Symbol" w:hAnsi="Segoe UI Symbol" w:cs="Segoe UI Symbol"/>
                  </w:rPr>
                </w:pPr>
                <w:hyperlink r:id="rId9">
                  <w:r w:rsidRPr="0050A536">
                    <w:rPr>
                      <w:rStyle w:val="Hyperlink"/>
                      <w:rFonts w:ascii="Segoe UI Symbol" w:eastAsia="Segoe UI Symbol" w:hAnsi="Segoe UI Symbol" w:cs="Segoe UI Symbol"/>
                    </w:rPr>
                    <w:t>CPHRM Exam Prep Course: On Demand | ASHRM</w:t>
                  </w:r>
                </w:hyperlink>
              </w:p>
              <w:p w14:paraId="6755B7D3" w14:textId="17463DF8" w:rsidR="002B2702" w:rsidRPr="00785726" w:rsidRDefault="0C695227" w:rsidP="0050A536">
                <w:pPr>
                  <w:rPr>
                    <w:rFonts w:ascii="Segoe UI Symbol" w:eastAsia="Segoe UI Symbol" w:hAnsi="Segoe UI Symbol" w:cs="Segoe UI Symbol"/>
                    <w:kern w:val="0"/>
                  </w:rPr>
                </w:pPr>
                <w:hyperlink r:id="rId10">
                  <w:r w:rsidRPr="0050A536">
                    <w:rPr>
                      <w:rStyle w:val="Hyperlink"/>
                      <w:rFonts w:ascii="Segoe UI Symbol" w:eastAsia="Segoe UI Symbol" w:hAnsi="Segoe UI Symbol" w:cs="Segoe UI Symbol"/>
                    </w:rPr>
                    <w:t>Certified Professional in Health Care Risk Management (CPHRM) | AHA</w:t>
                  </w:r>
                </w:hyperlink>
              </w:p>
            </w:tc>
          </w:sdtContent>
        </w:sdt>
      </w:tr>
      <w:tr w:rsidR="002B2702" w:rsidRPr="00785726" w14:paraId="71919239" w14:textId="77777777" w:rsidTr="0050A536">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77777777" w:rsidR="002B2702" w:rsidRPr="00785726" w:rsidRDefault="007122A4"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sidR="002B2702">
                  <w:rPr>
                    <w:rFonts w:ascii="MS Gothic" w:eastAsia="MS Gothic" w:hAnsi="MS Gothic" w:cs="Aptos"/>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sidR="5ACF7362" w:rsidRPr="0050A536">
                  <w:rPr>
                    <w:rFonts w:ascii="MS Gothic" w:eastAsia="MS Gothic" w:hAnsi="MS Gothic" w:cs="MS Gothic"/>
                    <w:kern w:val="0"/>
                  </w:rPr>
                  <w:t>☒</w:t>
                </w:r>
              </w:sdtContent>
            </w:sdt>
            <w:r w:rsidR="002B2702" w:rsidRPr="00785726">
              <w:rPr>
                <w:rFonts w:ascii="Roboto" w:eastAsia="Aptos" w:hAnsi="Roboto" w:cs="Aptos"/>
                <w:kern w:val="0"/>
              </w:rPr>
              <w:t xml:space="preserve">No </w:t>
            </w:r>
          </w:p>
        </w:tc>
      </w:tr>
      <w:tr w:rsidR="002B2702" w:rsidRPr="00785726" w14:paraId="043B6F52" w14:textId="77777777" w:rsidTr="0050A536">
        <w:tc>
          <w:tcPr>
            <w:tcW w:w="464" w:type="dxa"/>
            <w:vMerge/>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6C39E60D" w14:textId="602DF4D5" w:rsidR="002B2702" w:rsidRPr="00785726" w:rsidRDefault="7A2AC763" w:rsidP="002B2702">
                <w:pPr>
                  <w:rPr>
                    <w:rFonts w:ascii="Roboto" w:eastAsia="Aptos" w:hAnsi="Roboto" w:cs="Aptos"/>
                    <w:kern w:val="0"/>
                    <w:sz w:val="16"/>
                    <w:szCs w:val="16"/>
                  </w:rPr>
                </w:pPr>
                <w:r w:rsidRPr="0050A536">
                  <w:rPr>
                    <w:rFonts w:ascii="Roboto" w:eastAsia="Aptos" w:hAnsi="Roboto" w:cs="Aptos"/>
                    <w:sz w:val="16"/>
                    <w:szCs w:val="16"/>
                  </w:rPr>
                  <w:t xml:space="preserve">The prep course is not covered. The exam may be covered </w:t>
                </w:r>
                <w:proofErr w:type="gramStart"/>
                <w:r w:rsidRPr="0050A536">
                  <w:rPr>
                    <w:rFonts w:ascii="Roboto" w:eastAsia="Aptos" w:hAnsi="Roboto" w:cs="Aptos"/>
                    <w:sz w:val="16"/>
                    <w:szCs w:val="16"/>
                  </w:rPr>
                  <w:t>at a later date</w:t>
                </w:r>
                <w:proofErr w:type="gramEnd"/>
                <w:r w:rsidRPr="0050A536">
                  <w:rPr>
                    <w:rFonts w:ascii="Roboto" w:eastAsia="Aptos" w:hAnsi="Roboto" w:cs="Aptos"/>
                    <w:sz w:val="16"/>
                    <w:szCs w:val="16"/>
                  </w:rPr>
                  <w:t xml:space="preserve"> but only if completed with a passing score.</w:t>
                </w:r>
              </w:p>
            </w:sdtContent>
          </w:sdt>
        </w:tc>
      </w:tr>
      <w:tr w:rsidR="002B2702" w:rsidRPr="00785726" w14:paraId="3C47F737"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w:t>
            </w:r>
            <w:proofErr w:type="gramStart"/>
            <w:r>
              <w:rPr>
                <w:rFonts w:ascii="Roboto" w:eastAsia="Aptos" w:hAnsi="Roboto" w:cs="Aptos"/>
                <w:kern w:val="0"/>
              </w:rPr>
              <w:t>the education</w:t>
            </w:r>
            <w:proofErr w:type="gramEnd"/>
            <w:r>
              <w:rPr>
                <w:rFonts w:ascii="Roboto" w:eastAsia="Aptos" w:hAnsi="Roboto" w:cs="Aptos"/>
                <w:kern w:val="0"/>
              </w:rPr>
              <w:t xml:space="preserve">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405948BB" w14:textId="4FE3D7BD" w:rsidR="002B2702" w:rsidRPr="00785726" w:rsidRDefault="7D2E5532" w:rsidP="002B2702">
                <w:pPr>
                  <w:rPr>
                    <w:rFonts w:ascii="Roboto" w:eastAsia="Aptos" w:hAnsi="Roboto" w:cs="Aptos"/>
                    <w:kern w:val="0"/>
                  </w:rPr>
                </w:pPr>
                <w:r w:rsidRPr="0050A536">
                  <w:rPr>
                    <w:rFonts w:ascii="Roboto" w:eastAsia="Aptos" w:hAnsi="Roboto" w:cs="Aptos"/>
                  </w:rPr>
                  <w:t>It supports my personal and career growth as the Regional Director for Risk/Patient safety for Baptist Health Medical Group.</w:t>
                </w:r>
              </w:p>
            </w:sdtContent>
          </w:sdt>
        </w:tc>
      </w:tr>
      <w:tr w:rsidR="002B2702" w:rsidRPr="00785726" w14:paraId="200CCCFD" w14:textId="77777777" w:rsidTr="0050A536">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052964CD" w14:textId="185754B6" w:rsidR="002B2702" w:rsidRPr="00785726" w:rsidRDefault="5C0D4DC5" w:rsidP="002B2702">
                <w:pPr>
                  <w:contextualSpacing/>
                  <w:rPr>
                    <w:rFonts w:ascii="Roboto" w:eastAsia="Aptos" w:hAnsi="Roboto" w:cs="Aptos"/>
                    <w:kern w:val="0"/>
                  </w:rPr>
                </w:pPr>
                <w:r w:rsidRPr="0050A536">
                  <w:rPr>
                    <w:rFonts w:ascii="Roboto" w:eastAsia="Aptos" w:hAnsi="Roboto" w:cs="Aptos"/>
                  </w:rPr>
                  <w:t>This education and certification will allow me to grow in understanding of all the domains in the Risk realm. It will also allow me significant gro</w:t>
                </w:r>
                <w:r w:rsidR="320C2B82" w:rsidRPr="0050A536">
                  <w:rPr>
                    <w:rFonts w:ascii="Roboto" w:eastAsia="Aptos" w:hAnsi="Roboto" w:cs="Aptos"/>
                  </w:rPr>
                  <w:t xml:space="preserve">wth </w:t>
                </w:r>
                <w:r w:rsidRPr="0050A536">
                  <w:rPr>
                    <w:rFonts w:ascii="Roboto" w:eastAsia="Aptos" w:hAnsi="Roboto" w:cs="Aptos"/>
                  </w:rPr>
                  <w:t xml:space="preserve">in the finance/insurance realm as my background is </w:t>
                </w:r>
                <w:r w:rsidR="4BF569A4" w:rsidRPr="0050A536">
                  <w:rPr>
                    <w:rFonts w:ascii="Roboto" w:eastAsia="Aptos" w:hAnsi="Roboto" w:cs="Aptos"/>
                  </w:rPr>
                  <w:t>in clinical work.</w:t>
                </w:r>
              </w:p>
            </w:sdtContent>
          </w:sdt>
        </w:tc>
      </w:tr>
      <w:tr w:rsidR="002B2702" w:rsidRPr="00785726" w14:paraId="2D2A2B4B" w14:textId="77777777" w:rsidTr="0050A536">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438A56A1" w14:textId="5DA76C2C" w:rsidR="002B2702" w:rsidRPr="00785726" w:rsidRDefault="002B2702" w:rsidP="002B2702">
                <w:pPr>
                  <w:rPr>
                    <w:rFonts w:ascii="Roboto" w:eastAsia="Aptos" w:hAnsi="Roboto" w:cs="Aptos"/>
                    <w:kern w:val="0"/>
                  </w:rPr>
                </w:pPr>
                <w:r w:rsidRPr="0050A536">
                  <w:rPr>
                    <w:rFonts w:ascii="Roboto" w:eastAsia="Aptos" w:hAnsi="Roboto" w:cs="Aptos"/>
                  </w:rPr>
                  <w:t>C</w:t>
                </w:r>
                <w:r w:rsidR="6DE0AAAF" w:rsidRPr="0050A536">
                  <w:rPr>
                    <w:rFonts w:ascii="Roboto" w:eastAsia="Aptos" w:hAnsi="Roboto" w:cs="Aptos"/>
                  </w:rPr>
                  <w:t>PHRM is the leading certification in the Risk/Patient Safety realm. Having this certification pro</w:t>
                </w:r>
                <w:r w:rsidR="74F64112" w:rsidRPr="0050A536">
                  <w:rPr>
                    <w:rFonts w:ascii="Roboto" w:eastAsia="Aptos" w:hAnsi="Roboto" w:cs="Aptos"/>
                  </w:rPr>
                  <w:t xml:space="preserve">ves an understanding of </w:t>
                </w:r>
                <w:r w:rsidR="61774332" w:rsidRPr="0050A536">
                  <w:rPr>
                    <w:rFonts w:ascii="Roboto" w:eastAsia="Aptos" w:hAnsi="Roboto" w:cs="Aptos"/>
                  </w:rPr>
                  <w:t xml:space="preserve">core </w:t>
                </w:r>
                <w:r w:rsidR="74F64112" w:rsidRPr="0050A536">
                  <w:rPr>
                    <w:rFonts w:ascii="Roboto" w:eastAsia="Aptos" w:hAnsi="Roboto" w:cs="Aptos"/>
                  </w:rPr>
                  <w:t xml:space="preserve">knowledge in clinical, legal, and financial risk practices. A greater understanding will lead to </w:t>
                </w:r>
                <w:r w:rsidR="20AD0CDE" w:rsidRPr="0050A536">
                  <w:rPr>
                    <w:rFonts w:ascii="Roboto" w:eastAsia="Aptos" w:hAnsi="Roboto" w:cs="Aptos"/>
                  </w:rPr>
                  <w:t xml:space="preserve">personal and professional growth that will be utilized during </w:t>
                </w:r>
                <w:r w:rsidR="74F64112" w:rsidRPr="0050A536">
                  <w:rPr>
                    <w:rFonts w:ascii="Roboto" w:eastAsia="Aptos" w:hAnsi="Roboto" w:cs="Aptos"/>
                  </w:rPr>
                  <w:t>collaborati</w:t>
                </w:r>
                <w:r w:rsidR="7EB82F54" w:rsidRPr="0050A536">
                  <w:rPr>
                    <w:rFonts w:ascii="Roboto" w:eastAsia="Aptos" w:hAnsi="Roboto" w:cs="Aptos"/>
                  </w:rPr>
                  <w:t>ve discussions and d</w:t>
                </w:r>
                <w:r w:rsidR="74F64112" w:rsidRPr="0050A536">
                  <w:rPr>
                    <w:rFonts w:ascii="Roboto" w:eastAsia="Aptos" w:hAnsi="Roboto" w:cs="Aptos"/>
                  </w:rPr>
                  <w:t xml:space="preserve">ifficult conversations </w:t>
                </w:r>
                <w:r w:rsidR="14B8BD67" w:rsidRPr="0050A536">
                  <w:rPr>
                    <w:rFonts w:ascii="Roboto" w:eastAsia="Aptos" w:hAnsi="Roboto" w:cs="Aptos"/>
                  </w:rPr>
                  <w:t xml:space="preserve">before, during, and after events are identified. </w:t>
                </w:r>
                <w:r w:rsidR="08CCAD47" w:rsidRPr="0050A536">
                  <w:rPr>
                    <w:rFonts w:ascii="Roboto" w:eastAsia="Aptos" w:hAnsi="Roboto" w:cs="Aptos"/>
                  </w:rPr>
                  <w:t>This expansion of knowledge</w:t>
                </w:r>
                <w:r w:rsidR="74F64112" w:rsidRPr="0050A536">
                  <w:rPr>
                    <w:rFonts w:ascii="Roboto" w:eastAsia="Aptos" w:hAnsi="Roboto" w:cs="Aptos"/>
                  </w:rPr>
                  <w:t xml:space="preserve"> </w:t>
                </w:r>
                <w:r w:rsidR="37CC553A" w:rsidRPr="0050A536">
                  <w:rPr>
                    <w:rFonts w:ascii="Roboto" w:eastAsia="Aptos" w:hAnsi="Roboto" w:cs="Aptos"/>
                  </w:rPr>
                  <w:t xml:space="preserve">is </w:t>
                </w:r>
                <w:r w:rsidR="37CC553A" w:rsidRPr="0050A536">
                  <w:rPr>
                    <w:rFonts w:ascii="Roboto" w:eastAsia="Aptos" w:hAnsi="Roboto" w:cs="Aptos"/>
                  </w:rPr>
                  <w:lastRenderedPageBreak/>
                  <w:t xml:space="preserve">intended to </w:t>
                </w:r>
                <w:r w:rsidR="74F64112" w:rsidRPr="0050A536">
                  <w:rPr>
                    <w:rFonts w:ascii="Roboto" w:eastAsia="Aptos" w:hAnsi="Roboto" w:cs="Aptos"/>
                  </w:rPr>
                  <w:t xml:space="preserve">reduce liability and improve patient </w:t>
                </w:r>
                <w:r w:rsidR="1C9E8ABF" w:rsidRPr="0050A536">
                  <w:rPr>
                    <w:rFonts w:ascii="Roboto" w:eastAsia="Aptos" w:hAnsi="Roboto" w:cs="Aptos"/>
                  </w:rPr>
                  <w:t xml:space="preserve">safety and outcomes for the betterment of my organization and the </w:t>
                </w:r>
                <w:proofErr w:type="gramStart"/>
                <w:r w:rsidR="1C9E8ABF" w:rsidRPr="0050A536">
                  <w:rPr>
                    <w:rFonts w:ascii="Roboto" w:eastAsia="Aptos" w:hAnsi="Roboto" w:cs="Aptos"/>
                  </w:rPr>
                  <w:t>industry as a whole</w:t>
                </w:r>
                <w:proofErr w:type="gramEnd"/>
                <w:r w:rsidR="1C9E8ABF" w:rsidRPr="0050A536">
                  <w:rPr>
                    <w:rFonts w:ascii="Roboto" w:eastAsia="Aptos" w:hAnsi="Roboto" w:cs="Aptos"/>
                  </w:rPr>
                  <w:t>.</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3375C608" w:rsidR="0004751B" w:rsidRDefault="0004751B" w:rsidP="0004751B">
      <w:pPr>
        <w:widowControl w:val="0"/>
        <w:autoSpaceDE w:val="0"/>
        <w:autoSpaceDN w:val="0"/>
        <w:spacing w:after="0" w:line="240" w:lineRule="auto"/>
        <w:ind w:left="648" w:hanging="648"/>
        <w:rPr>
          <w:rFonts w:ascii="Roboto" w:hAnsi="Roboto"/>
          <w:b/>
          <w:bCs/>
        </w:rPr>
      </w:pPr>
      <w:r w:rsidRPr="0050A536">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5E1823EF" w:rsidRPr="0050A536">
            <w:rPr>
              <w:rFonts w:ascii="MS Gothic" w:eastAsia="MS Gothic" w:hAnsi="MS Gothic" w:cs="MS Gothic"/>
              <w:b/>
              <w:bCs/>
            </w:rPr>
            <w:t>☒</w:t>
          </w:r>
        </w:sdtContent>
      </w:sdt>
      <w:r w:rsidRPr="0050A536">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w:t>
      </w:r>
      <w:proofErr w:type="gramStart"/>
      <w:r w:rsidRPr="000301BF">
        <w:rPr>
          <w:rFonts w:ascii="Roboto" w:hAnsi="Roboto"/>
          <w:bCs/>
          <w:lang w:bidi="en-US"/>
        </w:rPr>
        <w:t>attachment,  with</w:t>
      </w:r>
      <w:proofErr w:type="gramEnd"/>
      <w:r w:rsidRPr="000301BF">
        <w:rPr>
          <w:rFonts w:ascii="Roboto" w:hAnsi="Roboto"/>
          <w:bCs/>
          <w:lang w:bidi="en-US"/>
        </w:rPr>
        <w:t xml:space="preserve"> a copy to the organization’s risk management leader, to the following email: </w:t>
      </w:r>
      <w:hyperlink r:id="rId11"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_x0000_s1028"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color="#00206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w14:anchorId="1F55F740">
                <v:textbox>
                  <w:txbxContent>
                    <w:p w:rsidRPr="00196B87" w:rsidR="00FB042D" w:rsidP="00FB042D" w:rsidRDefault="00FB042D" w14:paraId="19A8B688" w14:textId="77777777">
                      <w:pPr>
                        <w:rPr>
                          <w:rFonts w:ascii="Roboto" w:hAnsi="Roboto"/>
                          <w:b/>
                          <w:bCs/>
                        </w:rPr>
                      </w:pPr>
                      <w:r w:rsidRPr="00196B87">
                        <w:rPr>
                          <w:rFonts w:ascii="Roboto" w:hAnsi="Roboto"/>
                          <w:b/>
                          <w:bCs/>
                        </w:rPr>
                        <w:t>TIMELINE</w:t>
                      </w:r>
                    </w:p>
                    <w:p w:rsidRPr="008A1B37" w:rsidR="00FB042D" w:rsidP="00FB042D" w:rsidRDefault="00FB042D" w14:paraId="786F4F6D" w14:textId="77777777">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rsidRPr="008A1B37" w:rsidR="00FB042D" w:rsidP="00FB042D" w:rsidRDefault="00FB042D" w14:paraId="61470880" w14:textId="77777777">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rsidRPr="008A1B37" w:rsidR="00FB042D" w:rsidP="00FB042D" w:rsidRDefault="00FB042D" w14:paraId="7D1DF2BC" w14:textId="77777777">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rsidR="00FB042D" w:rsidP="00FB042D" w:rsidRDefault="00FB042D" w14:paraId="00F60725" w14:textId="77777777">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rsidRPr="00285EE5" w:rsidR="00FB042D" w:rsidP="00FB042D" w:rsidRDefault="00FB042D" w14:paraId="797CB8D5" w14:textId="77777777">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rsidRPr="008A1B37" w:rsidR="00FB042D" w:rsidP="00FB042D" w:rsidRDefault="00FB042D" w14:paraId="40CBAB88" w14:textId="77777777">
                      <w:pPr>
                        <w:spacing w:after="0"/>
                        <w:rPr>
                          <w:rFonts w:ascii="Roboto" w:hAnsi="Roboto"/>
                          <w:sz w:val="12"/>
                          <w:szCs w:val="12"/>
                        </w:rPr>
                      </w:pPr>
                    </w:p>
                    <w:p w:rsidRPr="00946B95" w:rsidR="00FB042D" w:rsidP="00FB042D" w:rsidRDefault="00FB042D" w14:paraId="608051DA" w14:textId="77777777">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rsidRPr="00946B95" w:rsidR="00FB042D" w:rsidP="00FB042D" w:rsidRDefault="00FB042D" w14:paraId="35D1030B" w14:textId="77777777">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2"/>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F4DA" w14:textId="77777777" w:rsidR="00661A49" w:rsidRDefault="00661A49" w:rsidP="00D01166">
      <w:pPr>
        <w:spacing w:after="0" w:line="240" w:lineRule="auto"/>
      </w:pPr>
      <w:r>
        <w:separator/>
      </w:r>
    </w:p>
  </w:endnote>
  <w:endnote w:type="continuationSeparator" w:id="0">
    <w:p w14:paraId="20EC7258" w14:textId="77777777" w:rsidR="00661A49" w:rsidRDefault="00661A49"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1E1F" w14:textId="77777777" w:rsidR="00661A49" w:rsidRDefault="00661A49" w:rsidP="00D01166">
      <w:pPr>
        <w:spacing w:after="0" w:line="240" w:lineRule="auto"/>
      </w:pPr>
      <w:r>
        <w:separator/>
      </w:r>
    </w:p>
  </w:footnote>
  <w:footnote w:type="continuationSeparator" w:id="0">
    <w:p w14:paraId="48C146E6" w14:textId="77777777" w:rsidR="00661A49" w:rsidRDefault="00661A49"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v:shapetype id="_x0000_t202" coordsize="21600,21600" o:spt="202" path="m,l,21600r21600,l21600,xe" w14:anchorId="0415ADA3">
              <v:stroke joinstyle="miter"/>
              <v:path gradientshapeok="t" o:connecttype="rect"/>
            </v:shapetype>
            <v:shape id="_x0000_s1029"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v:textbox>
                <w:txbxContent>
                  <w:p w:rsidR="00D01166" w:rsidRDefault="00D01166" w14:paraId="23E268F6" w14:textId="2DA7FE8E">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2"/>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995918">
    <w:abstractNumId w:val="4"/>
  </w:num>
  <w:num w:numId="2" w16cid:durableId="1054550535">
    <w:abstractNumId w:val="0"/>
  </w:num>
  <w:num w:numId="3" w16cid:durableId="1787461284">
    <w:abstractNumId w:val="1"/>
  </w:num>
  <w:num w:numId="4" w16cid:durableId="137040663">
    <w:abstractNumId w:val="2"/>
  </w:num>
  <w:num w:numId="5" w16cid:durableId="1763257297">
    <w:abstractNumId w:val="5"/>
  </w:num>
  <w:num w:numId="6" w16cid:durableId="108360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5B89"/>
    <w:rsid w:val="0012493D"/>
    <w:rsid w:val="00162813"/>
    <w:rsid w:val="001C7EE1"/>
    <w:rsid w:val="0021408D"/>
    <w:rsid w:val="002206C1"/>
    <w:rsid w:val="00256E6E"/>
    <w:rsid w:val="002A47CE"/>
    <w:rsid w:val="002B2702"/>
    <w:rsid w:val="003E011A"/>
    <w:rsid w:val="0040164E"/>
    <w:rsid w:val="00435D81"/>
    <w:rsid w:val="00436CE7"/>
    <w:rsid w:val="00476F66"/>
    <w:rsid w:val="00482D0C"/>
    <w:rsid w:val="0050A536"/>
    <w:rsid w:val="005306C4"/>
    <w:rsid w:val="00537139"/>
    <w:rsid w:val="005B1937"/>
    <w:rsid w:val="005B233B"/>
    <w:rsid w:val="005B53C4"/>
    <w:rsid w:val="005B712E"/>
    <w:rsid w:val="00606DA3"/>
    <w:rsid w:val="006220AA"/>
    <w:rsid w:val="00661A49"/>
    <w:rsid w:val="006B4764"/>
    <w:rsid w:val="007024C6"/>
    <w:rsid w:val="007122A4"/>
    <w:rsid w:val="00725633"/>
    <w:rsid w:val="00783E52"/>
    <w:rsid w:val="00785726"/>
    <w:rsid w:val="00791A51"/>
    <w:rsid w:val="007B494C"/>
    <w:rsid w:val="00816DE1"/>
    <w:rsid w:val="008262D9"/>
    <w:rsid w:val="00834609"/>
    <w:rsid w:val="0089310A"/>
    <w:rsid w:val="0097410C"/>
    <w:rsid w:val="009B36F7"/>
    <w:rsid w:val="009B5679"/>
    <w:rsid w:val="009E4B4D"/>
    <w:rsid w:val="00A04CD5"/>
    <w:rsid w:val="00AD75D3"/>
    <w:rsid w:val="00AE33AE"/>
    <w:rsid w:val="00B47931"/>
    <w:rsid w:val="00B47D0E"/>
    <w:rsid w:val="00B66031"/>
    <w:rsid w:val="00B9D97D"/>
    <w:rsid w:val="00BC6272"/>
    <w:rsid w:val="00BE7D0E"/>
    <w:rsid w:val="00BF4D74"/>
    <w:rsid w:val="00C334F8"/>
    <w:rsid w:val="00C63CFB"/>
    <w:rsid w:val="00CA190B"/>
    <w:rsid w:val="00CE4433"/>
    <w:rsid w:val="00D01166"/>
    <w:rsid w:val="00D01B7B"/>
    <w:rsid w:val="00D35F3D"/>
    <w:rsid w:val="00DC5590"/>
    <w:rsid w:val="00E3054A"/>
    <w:rsid w:val="00E33BE3"/>
    <w:rsid w:val="00E529AB"/>
    <w:rsid w:val="00E7798A"/>
    <w:rsid w:val="00EA48AD"/>
    <w:rsid w:val="00EB64B3"/>
    <w:rsid w:val="00F21CB9"/>
    <w:rsid w:val="00F34162"/>
    <w:rsid w:val="00F748CA"/>
    <w:rsid w:val="00F81BF3"/>
    <w:rsid w:val="00FB042D"/>
    <w:rsid w:val="00FF3D91"/>
    <w:rsid w:val="052010D5"/>
    <w:rsid w:val="07938142"/>
    <w:rsid w:val="07EFA79F"/>
    <w:rsid w:val="08018908"/>
    <w:rsid w:val="0824456F"/>
    <w:rsid w:val="08CCAD47"/>
    <w:rsid w:val="0C695227"/>
    <w:rsid w:val="0D10D11C"/>
    <w:rsid w:val="12EE61C8"/>
    <w:rsid w:val="1359B569"/>
    <w:rsid w:val="14B8BD67"/>
    <w:rsid w:val="16E14D80"/>
    <w:rsid w:val="19FA495D"/>
    <w:rsid w:val="1C9E8ABF"/>
    <w:rsid w:val="1FD460B5"/>
    <w:rsid w:val="20AD0CDE"/>
    <w:rsid w:val="2941861A"/>
    <w:rsid w:val="29C51FF8"/>
    <w:rsid w:val="2A8505F1"/>
    <w:rsid w:val="317A5FAC"/>
    <w:rsid w:val="320C2B82"/>
    <w:rsid w:val="37CC553A"/>
    <w:rsid w:val="39A81F86"/>
    <w:rsid w:val="3D63552C"/>
    <w:rsid w:val="409AC673"/>
    <w:rsid w:val="40BD4A19"/>
    <w:rsid w:val="42C6F4FD"/>
    <w:rsid w:val="449A0E16"/>
    <w:rsid w:val="465D299A"/>
    <w:rsid w:val="484773C7"/>
    <w:rsid w:val="492456BF"/>
    <w:rsid w:val="4BF569A4"/>
    <w:rsid w:val="555315BB"/>
    <w:rsid w:val="5580D2B4"/>
    <w:rsid w:val="5A1C0689"/>
    <w:rsid w:val="5ACF7362"/>
    <w:rsid w:val="5BA2F4A4"/>
    <w:rsid w:val="5C0D4DC5"/>
    <w:rsid w:val="5E1823EF"/>
    <w:rsid w:val="5E516F72"/>
    <w:rsid w:val="61774332"/>
    <w:rsid w:val="62298CF5"/>
    <w:rsid w:val="645C1C4E"/>
    <w:rsid w:val="64D0737E"/>
    <w:rsid w:val="67E453E2"/>
    <w:rsid w:val="6DE0AAAF"/>
    <w:rsid w:val="6E7A14AA"/>
    <w:rsid w:val="6FE69C2C"/>
    <w:rsid w:val="71D6EDE2"/>
    <w:rsid w:val="728BE68E"/>
    <w:rsid w:val="74F64112"/>
    <w:rsid w:val="76E8ECE7"/>
    <w:rsid w:val="78CF17A2"/>
    <w:rsid w:val="7A2AC763"/>
    <w:rsid w:val="7B5559E2"/>
    <w:rsid w:val="7D2E5532"/>
    <w:rsid w:val="7E0EB20D"/>
    <w:rsid w:val="7EB82F54"/>
    <w:rsid w:val="7F0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ixawards@premierinc.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aha.org/career-resources/certification-center/cphrm" TargetMode="External"/><Relationship Id="rId4" Type="http://schemas.openxmlformats.org/officeDocument/2006/relationships/webSettings" Target="webSettings.xml"/><Relationship Id="rId9" Type="http://schemas.openxmlformats.org/officeDocument/2006/relationships/hyperlink" Target="https://www.ashrm.org/education/elearning/cphrm-prep-cour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21408D"/>
    <w:rsid w:val="00256E6E"/>
    <w:rsid w:val="0038007A"/>
    <w:rsid w:val="003B4013"/>
    <w:rsid w:val="004D1DF3"/>
    <w:rsid w:val="005306C4"/>
    <w:rsid w:val="005B53C4"/>
    <w:rsid w:val="00606DA3"/>
    <w:rsid w:val="006A179B"/>
    <w:rsid w:val="00791A51"/>
    <w:rsid w:val="008572B0"/>
    <w:rsid w:val="009E4B4D"/>
    <w:rsid w:val="00BC6272"/>
    <w:rsid w:val="00BE7D0E"/>
    <w:rsid w:val="00C334F8"/>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Johns, Corey (BHE)</cp:lastModifiedBy>
  <cp:revision>5</cp:revision>
  <dcterms:created xsi:type="dcterms:W3CDTF">2025-05-08T17:39:00Z</dcterms:created>
  <dcterms:modified xsi:type="dcterms:W3CDTF">2025-07-15T18:37:00Z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